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34761" w14:textId="5AF50CFA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Toc39844883"/>
      <w:r w:rsidRPr="000071E7">
        <w:rPr>
          <w:rFonts w:ascii="Times New Roman" w:hAnsi="Times New Roman" w:cs="Times New Roman"/>
          <w:b/>
          <w:sz w:val="28"/>
          <w:szCs w:val="28"/>
        </w:rPr>
        <w:t>ФИЗИКО-ГЕОЛОГИЧЕСКАЯ ХАРАКТЕРИСТИКА АЧИМОВСКОГО МЕСТОРОЖДЕНИЯ</w:t>
      </w:r>
      <w:bookmarkEnd w:id="0"/>
    </w:p>
    <w:p w14:paraId="0EFF68ED" w14:textId="77777777" w:rsidR="00240F47" w:rsidRPr="000071E7" w:rsidRDefault="00240F47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C54721" w14:textId="00EFC89B" w:rsidR="00753368" w:rsidRPr="000071E7" w:rsidRDefault="008D0C18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1E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753368" w:rsidRPr="000071E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071E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753368" w:rsidRPr="000071E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071E7">
        <w:rPr>
          <w:rFonts w:ascii="Times New Roman" w:hAnsi="Times New Roman" w:cs="Times New Roman"/>
          <w:b/>
          <w:bCs/>
          <w:sz w:val="28"/>
          <w:szCs w:val="28"/>
        </w:rPr>
        <w:t>Бузмаков</w:t>
      </w:r>
    </w:p>
    <w:p w14:paraId="084E12DC" w14:textId="686AAA89" w:rsidR="00753368" w:rsidRPr="000071E7" w:rsidRDefault="00753368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D0C18" w:rsidRPr="000071E7">
        <w:rPr>
          <w:rFonts w:ascii="Times New Roman" w:hAnsi="Times New Roman" w:cs="Times New Roman"/>
          <w:sz w:val="28"/>
          <w:szCs w:val="28"/>
          <w:lang w:val="en-US"/>
        </w:rPr>
        <w:t>Egor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</w:t>
      </w:r>
      <w:r w:rsidR="008D0C18" w:rsidRPr="000071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071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D0C18" w:rsidRPr="000071E7">
        <w:rPr>
          <w:rFonts w:ascii="Times New Roman" w:hAnsi="Times New Roman" w:cs="Times New Roman"/>
          <w:sz w:val="28"/>
          <w:szCs w:val="28"/>
          <w:lang w:val="en-US"/>
        </w:rPr>
        <w:t>Buzmakov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>)</w:t>
      </w:r>
    </w:p>
    <w:p w14:paraId="47722D84" w14:textId="77777777" w:rsidR="00240F47" w:rsidRPr="000071E7" w:rsidRDefault="00240F47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1E7">
        <w:rPr>
          <w:rFonts w:ascii="Times New Roman" w:hAnsi="Times New Roman" w:cs="Times New Roman"/>
          <w:b/>
          <w:bCs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14:paraId="5394337F" w14:textId="77886AB2" w:rsidR="00240F47" w:rsidRPr="000071E7" w:rsidRDefault="00240F47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b/>
          <w:bCs/>
          <w:sz w:val="28"/>
          <w:szCs w:val="28"/>
        </w:rPr>
        <w:t>«Санкт-Петербургский государственный университет»</w:t>
      </w:r>
      <w:r w:rsidRPr="000071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6E13FE" w14:textId="7769100E" w:rsidR="00753368" w:rsidRPr="000071E7" w:rsidRDefault="00753368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>(</w:t>
      </w:r>
      <w:r w:rsidR="00240F47" w:rsidRPr="000071E7">
        <w:rPr>
          <w:rFonts w:ascii="Times New Roman" w:hAnsi="Times New Roman" w:cs="Times New Roman"/>
          <w:sz w:val="28"/>
          <w:szCs w:val="28"/>
          <w:lang w:val="en-US"/>
        </w:rPr>
        <w:t>Saint</w:t>
      </w:r>
      <w:r w:rsidR="00240F47" w:rsidRPr="000071E7">
        <w:rPr>
          <w:rFonts w:ascii="Times New Roman" w:hAnsi="Times New Roman" w:cs="Times New Roman"/>
          <w:sz w:val="28"/>
          <w:szCs w:val="28"/>
        </w:rPr>
        <w:t>-</w:t>
      </w:r>
      <w:r w:rsidR="00240F47" w:rsidRPr="000071E7">
        <w:rPr>
          <w:rFonts w:ascii="Times New Roman" w:hAnsi="Times New Roman" w:cs="Times New Roman"/>
          <w:sz w:val="28"/>
          <w:szCs w:val="28"/>
          <w:lang w:val="en-US"/>
        </w:rPr>
        <w:t>Petersburg</w:t>
      </w:r>
      <w:r w:rsidR="00240F47" w:rsidRPr="000071E7">
        <w:rPr>
          <w:rFonts w:ascii="Times New Roman" w:hAnsi="Times New Roman" w:cs="Times New Roman"/>
          <w:sz w:val="28"/>
          <w:szCs w:val="28"/>
        </w:rPr>
        <w:t xml:space="preserve"> </w:t>
      </w:r>
      <w:r w:rsidR="00240F47" w:rsidRPr="000071E7">
        <w:rPr>
          <w:rFonts w:ascii="Times New Roman" w:hAnsi="Times New Roman" w:cs="Times New Roman"/>
          <w:sz w:val="28"/>
          <w:szCs w:val="28"/>
          <w:lang w:val="en-US"/>
        </w:rPr>
        <w:t>State</w:t>
      </w:r>
      <w:r w:rsidR="00240F47" w:rsidRPr="000071E7">
        <w:rPr>
          <w:rFonts w:ascii="Times New Roman" w:hAnsi="Times New Roman" w:cs="Times New Roman"/>
          <w:sz w:val="28"/>
          <w:szCs w:val="28"/>
        </w:rPr>
        <w:t xml:space="preserve"> </w:t>
      </w:r>
      <w:r w:rsidR="00240F47" w:rsidRPr="000071E7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Pr="000071E7">
        <w:rPr>
          <w:rFonts w:ascii="Times New Roman" w:hAnsi="Times New Roman" w:cs="Times New Roman"/>
          <w:sz w:val="28"/>
          <w:szCs w:val="28"/>
        </w:rPr>
        <w:t>)</w:t>
      </w:r>
    </w:p>
    <w:p w14:paraId="6AB3CABB" w14:textId="6B7501A1" w:rsidR="0081080E" w:rsidRPr="000071E7" w:rsidRDefault="00240F47" w:rsidP="003A4AE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 xml:space="preserve">Научный руководитель – </w:t>
      </w:r>
      <w:r w:rsidR="008D0C18" w:rsidRPr="000071E7">
        <w:rPr>
          <w:rFonts w:ascii="Times New Roman" w:hAnsi="Times New Roman" w:cs="Times New Roman"/>
          <w:sz w:val="28"/>
          <w:szCs w:val="28"/>
        </w:rPr>
        <w:t>к. г.-м. н. А. К. Сараев</w:t>
      </w:r>
    </w:p>
    <w:p w14:paraId="17B22A74" w14:textId="13AB80FA" w:rsidR="00FC017C" w:rsidRPr="000071E7" w:rsidRDefault="00771DDC" w:rsidP="003A4A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>Ханты-Мансийский автономный округ - основной нефтегазоносный район России, на территории которого находится 504 месторождения.</w:t>
      </w:r>
      <w:r w:rsidR="00316532" w:rsidRPr="000071E7">
        <w:rPr>
          <w:rFonts w:ascii="Times New Roman" w:hAnsi="Times New Roman" w:cs="Times New Roman"/>
          <w:sz w:val="28"/>
          <w:szCs w:val="28"/>
        </w:rPr>
        <w:t xml:space="preserve"> </w:t>
      </w:r>
      <w:r w:rsidRPr="000071E7"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3A4AEF" w:rsidRPr="000071E7">
        <w:rPr>
          <w:rFonts w:ascii="Times New Roman" w:hAnsi="Times New Roman" w:cs="Times New Roman"/>
          <w:sz w:val="28"/>
          <w:szCs w:val="28"/>
        </w:rPr>
        <w:t xml:space="preserve">была проведена физико-геологическая характеристика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="00CF6672" w:rsidRPr="000071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615733" w14:textId="4E5B0BF4" w:rsidR="00FC017C" w:rsidRPr="000071E7" w:rsidRDefault="00FC017C" w:rsidP="003A4A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9F23F" w14:textId="56862586" w:rsidR="0081080E" w:rsidRPr="000071E7" w:rsidRDefault="0081080E" w:rsidP="003A4AEF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Ключевые слова:</w:t>
      </w:r>
      <w:r w:rsidR="00782111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65742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пористость</w:t>
      </w:r>
      <w:r w:rsidR="005B4B35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5B4B35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ачимовское</w:t>
      </w:r>
      <w:proofErr w:type="spellEnd"/>
      <w:r w:rsidR="005B4B35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месторождение</w:t>
      </w:r>
    </w:p>
    <w:p w14:paraId="0C130EE7" w14:textId="1D434EB2" w:rsidR="003A4AEF" w:rsidRPr="000071E7" w:rsidRDefault="0081080E" w:rsidP="000071E7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71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Key</w:t>
      </w:r>
      <w:r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071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words</w:t>
      </w:r>
      <w:r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782111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65742" w:rsidRPr="000071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porosity</w:t>
      </w:r>
      <w:r w:rsidR="00782111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F65742" w:rsidRPr="000071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achimovskoe</w:t>
      </w:r>
      <w:proofErr w:type="spellEnd"/>
      <w:r w:rsidR="00F65742" w:rsidRPr="000071E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65742" w:rsidRPr="000071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field</w:t>
      </w:r>
    </w:p>
    <w:p w14:paraId="234B2514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Toc39844884"/>
      <w:r w:rsidRPr="000071E7">
        <w:rPr>
          <w:rFonts w:ascii="Times New Roman" w:hAnsi="Times New Roman" w:cs="Times New Roman"/>
          <w:sz w:val="28"/>
          <w:szCs w:val="28"/>
        </w:rPr>
        <w:t xml:space="preserve">Общая характеристика района и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bookmarkEnd w:id="1"/>
    </w:p>
    <w:p w14:paraId="14DA3C3F" w14:textId="77777777" w:rsidR="003A4AEF" w:rsidRPr="000071E7" w:rsidRDefault="003A4AEF" w:rsidP="003A4AEF">
      <w:pPr>
        <w:pStyle w:val="ae"/>
        <w:spacing w:line="240" w:lineRule="auto"/>
        <w:ind w:left="1020"/>
        <w:rPr>
          <w:rFonts w:eastAsia="F16"/>
          <w:sz w:val="28"/>
          <w:szCs w:val="28"/>
          <w:lang w:val="ru-RU"/>
        </w:rPr>
      </w:pPr>
    </w:p>
    <w:p w14:paraId="1345F769" w14:textId="77777777" w:rsidR="003A4AEF" w:rsidRPr="000071E7" w:rsidRDefault="003A4AEF" w:rsidP="003A4AE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Ачимовское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месторождение располагается на стыке Сургутского и Нижневартовского районов Ханты-Мансийского автономного округа и приурочено к Среднеобской нефтегазоносной области, которая была открыта в 1981 году. В Ханты-Мансийском автономном округе было открыто всего 504 месторождения (рисунок 1.1.1), 429 из которых – нефтяные. Нефтедобыча в ХМАО составляет примерно 57% всей нефтедобычи РФ.</w:t>
      </w:r>
    </w:p>
    <w:p w14:paraId="7E31254C" w14:textId="77777777" w:rsidR="003A4AEF" w:rsidRPr="000071E7" w:rsidRDefault="003A4AEF" w:rsidP="003A4A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007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B971C2" wp14:editId="6FA1F0DF">
            <wp:extent cx="4905375" cy="33762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_13_PI_goryu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73" cy="33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E70D09E" w14:textId="77777777" w:rsidR="003A4AEF" w:rsidRPr="000071E7" w:rsidRDefault="003A4AEF" w:rsidP="003A4A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 xml:space="preserve">Рисунок 1.1.1- </w:t>
      </w:r>
      <w:hyperlink r:id="rId9" w:history="1">
        <w:r w:rsidRPr="000071E7">
          <w:rPr>
            <w:rFonts w:ascii="Times New Roman" w:hAnsi="Times New Roman" w:cs="Times New Roman"/>
            <w:sz w:val="28"/>
            <w:szCs w:val="28"/>
          </w:rPr>
          <w:t>Месторождения горючих полезных ископаемых Ханты-Мансийскго автономного округа</w:t>
        </w:r>
      </w:hyperlink>
      <w:r w:rsidRPr="000071E7">
        <w:rPr>
          <w:rFonts w:ascii="Times New Roman" w:hAnsi="Times New Roman" w:cs="Times New Roman"/>
          <w:sz w:val="28"/>
          <w:szCs w:val="28"/>
        </w:rPr>
        <w:t xml:space="preserve"> (</w:t>
      </w:r>
      <w:hyperlink r:id="rId10" w:history="1">
        <w:r w:rsidRPr="000071E7">
          <w:rPr>
            <w:rStyle w:val="ad"/>
            <w:rFonts w:ascii="Times New Roman" w:hAnsi="Times New Roman" w:cs="Times New Roman"/>
            <w:sz w:val="28"/>
            <w:szCs w:val="28"/>
          </w:rPr>
          <w:t>https://vsegei.ru/ru/info/gisatlas/ufo/khanty-mansiysky_ao/</w:t>
        </w:r>
      </w:hyperlink>
      <w:r w:rsidRPr="000071E7">
        <w:rPr>
          <w:rFonts w:ascii="Times New Roman" w:hAnsi="Times New Roman" w:cs="Times New Roman"/>
          <w:sz w:val="28"/>
          <w:szCs w:val="28"/>
        </w:rPr>
        <w:t>)</w:t>
      </w:r>
    </w:p>
    <w:p w14:paraId="0900088E" w14:textId="77777777" w:rsidR="003A4AEF" w:rsidRPr="000071E7" w:rsidRDefault="003A4AEF" w:rsidP="003A4A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B758A" wp14:editId="2948DF2A">
            <wp:extent cx="5760085" cy="4903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75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EA2E" w14:textId="77777777" w:rsidR="003A4AEF" w:rsidRPr="000071E7" w:rsidRDefault="003A4AEF" w:rsidP="003A4A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lastRenderedPageBreak/>
        <w:t>Рисунок 1.1.2- Увеличение южной части карты месторождений ХМАО. Номер 475-Ачимовское месторождение.</w:t>
      </w:r>
    </w:p>
    <w:p w14:paraId="11A8C234" w14:textId="77777777" w:rsidR="003A4AEF" w:rsidRPr="000071E7" w:rsidRDefault="003A4AEF" w:rsidP="003A4AE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>Среднеобская нефтегазоносная область включает в себя Сургутский и Нижневартовский районы. Остановимся на каждом поподробнее:</w:t>
      </w:r>
    </w:p>
    <w:p w14:paraId="122EF00D" w14:textId="77777777" w:rsidR="003A4AEF" w:rsidRPr="000071E7" w:rsidRDefault="003A4AEF" w:rsidP="003A4AEF">
      <w:pPr>
        <w:pStyle w:val="a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rPr>
          <w:sz w:val="28"/>
          <w:szCs w:val="28"/>
          <w:lang w:val="ru-RU"/>
        </w:rPr>
      </w:pPr>
      <w:r w:rsidRPr="000071E7">
        <w:rPr>
          <w:sz w:val="28"/>
          <w:szCs w:val="28"/>
          <w:lang w:val="ru-RU"/>
        </w:rPr>
        <w:t>Сургутский район имеет площадь 31 тыс. км</w:t>
      </w:r>
      <w:r w:rsidRPr="000071E7">
        <w:rPr>
          <w:sz w:val="28"/>
          <w:szCs w:val="28"/>
          <w:vertAlign w:val="superscript"/>
          <w:lang w:val="ru-RU"/>
        </w:rPr>
        <w:t>2</w:t>
      </w:r>
      <w:r w:rsidRPr="000071E7">
        <w:rPr>
          <w:sz w:val="28"/>
          <w:szCs w:val="28"/>
          <w:lang w:val="ru-RU"/>
        </w:rPr>
        <w:t xml:space="preserve">. В его состав входят 2 главных </w:t>
      </w:r>
      <w:proofErr w:type="spellStart"/>
      <w:r w:rsidRPr="000071E7">
        <w:rPr>
          <w:sz w:val="28"/>
          <w:szCs w:val="28"/>
          <w:lang w:val="ru-RU"/>
        </w:rPr>
        <w:t>подкомплекса</w:t>
      </w:r>
      <w:proofErr w:type="spellEnd"/>
      <w:r w:rsidRPr="000071E7">
        <w:rPr>
          <w:sz w:val="28"/>
          <w:szCs w:val="28"/>
          <w:lang w:val="ru-RU"/>
        </w:rPr>
        <w:t xml:space="preserve">: </w:t>
      </w:r>
      <w:proofErr w:type="spellStart"/>
      <w:r w:rsidRPr="000071E7">
        <w:rPr>
          <w:sz w:val="28"/>
          <w:szCs w:val="28"/>
          <w:lang w:val="ru-RU"/>
        </w:rPr>
        <w:t>верхневаланжинский</w:t>
      </w:r>
      <w:proofErr w:type="spellEnd"/>
      <w:r w:rsidRPr="000071E7">
        <w:rPr>
          <w:sz w:val="28"/>
          <w:szCs w:val="28"/>
          <w:lang w:val="ru-RU"/>
        </w:rPr>
        <w:t xml:space="preserve"> и </w:t>
      </w:r>
      <w:proofErr w:type="spellStart"/>
      <w:r w:rsidRPr="000071E7">
        <w:rPr>
          <w:sz w:val="28"/>
          <w:szCs w:val="28"/>
          <w:lang w:val="ru-RU"/>
        </w:rPr>
        <w:t>готеривский</w:t>
      </w:r>
      <w:proofErr w:type="spellEnd"/>
      <w:r w:rsidRPr="000071E7">
        <w:rPr>
          <w:sz w:val="28"/>
          <w:szCs w:val="28"/>
          <w:lang w:val="ru-RU"/>
        </w:rPr>
        <w:t xml:space="preserve">. Однако зонально район делят на 7 частей. Это связано с положительными структурами, таких как своды и купола, из-за которых стратиграфическое распределение залежей в районе неравномерно. Среди них стоит выделить Чернореченскую, </w:t>
      </w:r>
      <w:proofErr w:type="spellStart"/>
      <w:r w:rsidRPr="000071E7">
        <w:rPr>
          <w:sz w:val="28"/>
          <w:szCs w:val="28"/>
          <w:lang w:val="ru-RU"/>
        </w:rPr>
        <w:t>Пойкинско-Балыкскую</w:t>
      </w:r>
      <w:proofErr w:type="spellEnd"/>
      <w:r w:rsidRPr="000071E7">
        <w:rPr>
          <w:sz w:val="28"/>
          <w:szCs w:val="28"/>
          <w:lang w:val="ru-RU"/>
        </w:rPr>
        <w:t xml:space="preserve"> и Холмогорскую зоны, которые выделяются наиболее приподнятой вершиной свода. Закономерность распределения залежей Сургутского района так до конца и не изучена, но можно подметить, что в пространстве между куполами наблюдается увеличение мощности и площади распространения проницаемых пород, а также замещение песчано-алевритовых пластов глинами ближе к центру Сургутского свода.</w:t>
      </w:r>
    </w:p>
    <w:p w14:paraId="2DBBEE2D" w14:textId="77777777" w:rsidR="003A4AEF" w:rsidRPr="000071E7" w:rsidRDefault="003A4AEF" w:rsidP="003A4AEF">
      <w:pPr>
        <w:pStyle w:val="a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rPr>
          <w:sz w:val="28"/>
          <w:szCs w:val="28"/>
          <w:lang w:val="ru-RU"/>
        </w:rPr>
      </w:pPr>
      <w:r w:rsidRPr="000071E7">
        <w:rPr>
          <w:sz w:val="28"/>
          <w:szCs w:val="28"/>
          <w:lang w:val="ru-RU"/>
        </w:rPr>
        <w:t>Нижневартовский район имеет площадь 34 тыс. км</w:t>
      </w:r>
      <w:r w:rsidRPr="000071E7">
        <w:rPr>
          <w:sz w:val="28"/>
          <w:szCs w:val="28"/>
          <w:vertAlign w:val="superscript"/>
          <w:lang w:val="ru-RU"/>
        </w:rPr>
        <w:t>2</w:t>
      </w:r>
      <w:r w:rsidRPr="000071E7">
        <w:rPr>
          <w:sz w:val="28"/>
          <w:szCs w:val="28"/>
          <w:lang w:val="ru-RU"/>
        </w:rPr>
        <w:t xml:space="preserve">. В его состав входят 2 главных </w:t>
      </w:r>
      <w:proofErr w:type="spellStart"/>
      <w:r w:rsidRPr="000071E7">
        <w:rPr>
          <w:sz w:val="28"/>
          <w:szCs w:val="28"/>
          <w:lang w:val="ru-RU"/>
        </w:rPr>
        <w:t>подкомплекса</w:t>
      </w:r>
      <w:proofErr w:type="spellEnd"/>
      <w:r w:rsidRPr="000071E7">
        <w:rPr>
          <w:sz w:val="28"/>
          <w:szCs w:val="28"/>
          <w:lang w:val="ru-RU"/>
        </w:rPr>
        <w:t xml:space="preserve">: </w:t>
      </w:r>
      <w:proofErr w:type="spellStart"/>
      <w:r w:rsidRPr="000071E7">
        <w:rPr>
          <w:sz w:val="28"/>
          <w:szCs w:val="28"/>
          <w:lang w:val="ru-RU"/>
        </w:rPr>
        <w:t>верхневаланжинский</w:t>
      </w:r>
      <w:proofErr w:type="spellEnd"/>
      <w:r w:rsidRPr="000071E7">
        <w:rPr>
          <w:sz w:val="28"/>
          <w:szCs w:val="28"/>
          <w:lang w:val="ru-RU"/>
        </w:rPr>
        <w:t xml:space="preserve"> и </w:t>
      </w:r>
      <w:proofErr w:type="spellStart"/>
      <w:r w:rsidRPr="000071E7">
        <w:rPr>
          <w:sz w:val="28"/>
          <w:szCs w:val="28"/>
          <w:lang w:val="ru-RU"/>
        </w:rPr>
        <w:t>барремский</w:t>
      </w:r>
      <w:proofErr w:type="spellEnd"/>
      <w:r w:rsidRPr="000071E7">
        <w:rPr>
          <w:sz w:val="28"/>
          <w:szCs w:val="28"/>
          <w:lang w:val="ru-RU"/>
        </w:rPr>
        <w:t>. Зонально район делится на 6 частей, самая важная в производственном плане Мегион-</w:t>
      </w:r>
      <w:proofErr w:type="spellStart"/>
      <w:r w:rsidRPr="000071E7">
        <w:rPr>
          <w:sz w:val="28"/>
          <w:szCs w:val="28"/>
          <w:lang w:val="ru-RU"/>
        </w:rPr>
        <w:t>Самотлорская</w:t>
      </w:r>
      <w:proofErr w:type="spellEnd"/>
      <w:r w:rsidRPr="000071E7">
        <w:rPr>
          <w:sz w:val="28"/>
          <w:szCs w:val="28"/>
          <w:lang w:val="ru-RU"/>
        </w:rPr>
        <w:t xml:space="preserve">. Данная зона превосходит остальные по запасам и делится на 2 </w:t>
      </w:r>
      <w:proofErr w:type="spellStart"/>
      <w:r w:rsidRPr="000071E7">
        <w:rPr>
          <w:sz w:val="28"/>
          <w:szCs w:val="28"/>
          <w:lang w:val="ru-RU"/>
        </w:rPr>
        <w:t>подкомплекса</w:t>
      </w:r>
      <w:proofErr w:type="spellEnd"/>
      <w:r w:rsidRPr="000071E7">
        <w:rPr>
          <w:sz w:val="28"/>
          <w:szCs w:val="28"/>
          <w:lang w:val="ru-RU"/>
        </w:rPr>
        <w:t xml:space="preserve">: </w:t>
      </w:r>
      <w:proofErr w:type="spellStart"/>
      <w:r w:rsidRPr="000071E7">
        <w:rPr>
          <w:sz w:val="28"/>
          <w:szCs w:val="28"/>
          <w:lang w:val="ru-RU"/>
        </w:rPr>
        <w:t>верхневаланжинский</w:t>
      </w:r>
      <w:proofErr w:type="spellEnd"/>
      <w:r w:rsidRPr="000071E7">
        <w:rPr>
          <w:sz w:val="28"/>
          <w:szCs w:val="28"/>
          <w:lang w:val="ru-RU"/>
        </w:rPr>
        <w:t xml:space="preserve"> и </w:t>
      </w:r>
      <w:proofErr w:type="spellStart"/>
      <w:r w:rsidRPr="000071E7">
        <w:rPr>
          <w:sz w:val="28"/>
          <w:szCs w:val="28"/>
          <w:lang w:val="ru-RU"/>
        </w:rPr>
        <w:t>барремский</w:t>
      </w:r>
      <w:proofErr w:type="spellEnd"/>
      <w:r w:rsidRPr="000071E7">
        <w:rPr>
          <w:sz w:val="28"/>
          <w:szCs w:val="28"/>
          <w:lang w:val="ru-RU"/>
        </w:rPr>
        <w:t>. Запасы нефти в которых распределены примерно одинаково. Закономерность распределения залежей Нижневартовского района обусловлена характерным увеличением запасов нефти в наиболее приподнятых зонах.</w:t>
      </w:r>
    </w:p>
    <w:p w14:paraId="1DAD0AD1" w14:textId="77777777" w:rsidR="003A4AEF" w:rsidRPr="000071E7" w:rsidRDefault="003A4AEF" w:rsidP="003A4A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84BEEF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Toc39844885"/>
      <w:r w:rsidRPr="000071E7">
        <w:rPr>
          <w:rFonts w:ascii="Times New Roman" w:hAnsi="Times New Roman" w:cs="Times New Roman"/>
          <w:sz w:val="28"/>
          <w:szCs w:val="28"/>
        </w:rPr>
        <w:t xml:space="preserve">Литолого-стратиграфическая характеристика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bookmarkEnd w:id="3"/>
    </w:p>
    <w:p w14:paraId="099D837C" w14:textId="77777777" w:rsidR="003A4AEF" w:rsidRPr="000071E7" w:rsidRDefault="003A4AEF" w:rsidP="003A4AEF">
      <w:pPr>
        <w:pStyle w:val="ae"/>
        <w:spacing w:after="0" w:line="240" w:lineRule="auto"/>
        <w:ind w:left="0"/>
        <w:rPr>
          <w:sz w:val="28"/>
          <w:szCs w:val="28"/>
          <w:lang w:val="ru-RU"/>
        </w:rPr>
      </w:pPr>
    </w:p>
    <w:p w14:paraId="7AC9E969" w14:textId="77777777" w:rsidR="003A4AEF" w:rsidRPr="000071E7" w:rsidRDefault="003A4AEF" w:rsidP="003A4AEF">
      <w:pPr>
        <w:spacing w:after="0"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Ачимовское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месторождение сложено толщами пород юрского, мелового и палеоген-четвертичного возрастов. Породы залегают на фундаменте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доюрского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возраста. </w:t>
      </w:r>
      <w:r w:rsidRPr="000071E7">
        <w:rPr>
          <w:rFonts w:ascii="Times New Roman" w:eastAsia="F16" w:hAnsi="Times New Roman" w:cs="Times New Roman"/>
          <w:sz w:val="28"/>
          <w:szCs w:val="28"/>
        </w:rPr>
        <w:t xml:space="preserve">Песчаники и песчаные алевролиты в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ачимовском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разрезе присутствуют, в основном, в восточной части, в зоне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палеосклона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. На запад в сторону развития глубоководной части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палеобассейна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толщина пластов резко сокращается за счет исчезновения из разреза песчаных и алевролитовых прослоев. В центральной и западной частях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ачимовский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разрез представлен, в основном, маломощными глинистыми отложениями.</w:t>
      </w:r>
    </w:p>
    <w:p w14:paraId="2F0C5848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Кроме того, в </w:t>
      </w:r>
      <w:proofErr w:type="spellStart"/>
      <w:r w:rsidRPr="000071E7">
        <w:rPr>
          <w:rFonts w:eastAsia="F16"/>
          <w:sz w:val="28"/>
          <w:szCs w:val="28"/>
          <w:lang w:eastAsia="en-US"/>
        </w:rPr>
        <w:t>ачимовских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отложениях выделяются несколько локальных реперных пластов глин толщиной 3-15 м. Указанные пласты разделяют </w:t>
      </w:r>
      <w:proofErr w:type="spellStart"/>
      <w:r w:rsidRPr="000071E7">
        <w:rPr>
          <w:rFonts w:eastAsia="F16"/>
          <w:sz w:val="28"/>
          <w:szCs w:val="28"/>
          <w:lang w:eastAsia="en-US"/>
        </w:rPr>
        <w:t>ачимовскую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толщу на несколько самостоятельных пластов. Геологическое строение </w:t>
      </w:r>
      <w:proofErr w:type="spellStart"/>
      <w:r w:rsidRPr="000071E7">
        <w:rPr>
          <w:rFonts w:eastAsia="F16"/>
          <w:sz w:val="28"/>
          <w:szCs w:val="28"/>
          <w:lang w:eastAsia="en-US"/>
        </w:rPr>
        <w:t>ачимовских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отложений, например, северо-запада Сургутского свода обусловлено наличием ярко выраженных </w:t>
      </w:r>
      <w:proofErr w:type="spellStart"/>
      <w:r w:rsidRPr="000071E7">
        <w:rPr>
          <w:rFonts w:eastAsia="F16"/>
          <w:sz w:val="28"/>
          <w:szCs w:val="28"/>
          <w:lang w:eastAsia="en-US"/>
        </w:rPr>
        <w:t>клиноформ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, распространение и строение которых должно учитываться на этапе освоения месторождений. Такая модель строения </w:t>
      </w:r>
      <w:proofErr w:type="spellStart"/>
      <w:r w:rsidRPr="000071E7">
        <w:rPr>
          <w:rFonts w:eastAsia="F16"/>
          <w:sz w:val="28"/>
          <w:szCs w:val="28"/>
          <w:lang w:eastAsia="en-US"/>
        </w:rPr>
        <w:t>неокомского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яруса меловой системы была предложена </w:t>
      </w:r>
      <w:r w:rsidRPr="000071E7">
        <w:rPr>
          <w:rFonts w:eastAsia="F16"/>
          <w:sz w:val="28"/>
          <w:szCs w:val="28"/>
          <w:lang w:eastAsia="en-US"/>
        </w:rPr>
        <w:lastRenderedPageBreak/>
        <w:t xml:space="preserve">Наумовым А.Л. в конце 70-х годов. В настоящее время принято использовать терминологию, предложенную Ричем </w:t>
      </w:r>
      <w:proofErr w:type="spellStart"/>
      <w:r w:rsidRPr="000071E7">
        <w:rPr>
          <w:rFonts w:eastAsia="F16"/>
          <w:sz w:val="28"/>
          <w:szCs w:val="28"/>
          <w:lang w:eastAsia="en-US"/>
        </w:rPr>
        <w:t>Дж.Л</w:t>
      </w:r>
      <w:proofErr w:type="spellEnd"/>
      <w:r w:rsidRPr="000071E7">
        <w:rPr>
          <w:rFonts w:eastAsia="F16"/>
          <w:sz w:val="28"/>
          <w:szCs w:val="28"/>
          <w:lang w:eastAsia="en-US"/>
        </w:rPr>
        <w:t>. в 1951 году.</w:t>
      </w:r>
    </w:p>
    <w:p w14:paraId="07A394CE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Fonts w:eastAsia="F16"/>
          <w:sz w:val="28"/>
          <w:szCs w:val="28"/>
          <w:lang w:eastAsia="en-US"/>
        </w:rPr>
      </w:pPr>
      <w:proofErr w:type="spellStart"/>
      <w:r w:rsidRPr="000071E7">
        <w:rPr>
          <w:rFonts w:eastAsia="F16"/>
          <w:sz w:val="28"/>
          <w:szCs w:val="28"/>
          <w:lang w:eastAsia="en-US"/>
        </w:rPr>
        <w:t>Клиноформ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-</w:t>
      </w:r>
      <w:r w:rsidRPr="000071E7">
        <w:rPr>
          <w:color w:val="333333"/>
          <w:sz w:val="28"/>
          <w:szCs w:val="28"/>
          <w:shd w:val="clear" w:color="auto" w:fill="FFFFFF"/>
        </w:rPr>
        <w:t xml:space="preserve"> </w:t>
      </w:r>
      <w:r w:rsidRPr="000071E7">
        <w:rPr>
          <w:rFonts w:eastAsia="F16"/>
          <w:sz w:val="28"/>
          <w:szCs w:val="28"/>
          <w:lang w:eastAsia="en-US"/>
        </w:rPr>
        <w:t xml:space="preserve">обстановка осадконакопления, соответствующая наклонному рельефу дна водоема – от зоны прибоя до глубоководных частей (рисунок 1.2.1) (Словарь ВСЕГЕИ). </w:t>
      </w:r>
    </w:p>
    <w:p w14:paraId="299063BA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Иногда в </w:t>
      </w:r>
      <w:proofErr w:type="spellStart"/>
      <w:r w:rsidRPr="000071E7">
        <w:rPr>
          <w:rFonts w:eastAsia="F16"/>
          <w:sz w:val="28"/>
          <w:szCs w:val="28"/>
          <w:lang w:eastAsia="en-US"/>
        </w:rPr>
        <w:t>клиноформной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структуре используются следующие понятия:</w:t>
      </w:r>
    </w:p>
    <w:p w14:paraId="234E9596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1) </w:t>
      </w:r>
      <w:proofErr w:type="spellStart"/>
      <w:r w:rsidRPr="000071E7">
        <w:rPr>
          <w:rFonts w:eastAsia="F16"/>
          <w:sz w:val="28"/>
          <w:szCs w:val="28"/>
          <w:lang w:eastAsia="en-US"/>
        </w:rPr>
        <w:t>Ундоформа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- шельфовая зона. </w:t>
      </w:r>
    </w:p>
    <w:p w14:paraId="18CD6C1E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2) </w:t>
      </w:r>
      <w:proofErr w:type="spellStart"/>
      <w:r w:rsidRPr="000071E7">
        <w:rPr>
          <w:rFonts w:eastAsia="F16"/>
          <w:sz w:val="28"/>
          <w:szCs w:val="28"/>
          <w:lang w:eastAsia="en-US"/>
        </w:rPr>
        <w:t>Ортоформа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– склоновая зона. </w:t>
      </w:r>
    </w:p>
    <w:p w14:paraId="1BB97F76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3) </w:t>
      </w:r>
      <w:proofErr w:type="spellStart"/>
      <w:r w:rsidRPr="000071E7">
        <w:rPr>
          <w:rFonts w:eastAsia="F16"/>
          <w:sz w:val="28"/>
          <w:szCs w:val="28"/>
          <w:lang w:eastAsia="en-US"/>
        </w:rPr>
        <w:t>Фондоформа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– наиболее глубоководная зона</w:t>
      </w:r>
    </w:p>
    <w:p w14:paraId="365B8D10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rPr>
          <w:rFonts w:eastAsia="F16"/>
          <w:sz w:val="28"/>
          <w:szCs w:val="28"/>
          <w:lang w:eastAsia="en-US"/>
        </w:rPr>
      </w:pPr>
    </w:p>
    <w:p w14:paraId="713F6551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rPr>
          <w:rFonts w:eastAsia="F16"/>
          <w:sz w:val="28"/>
          <w:szCs w:val="28"/>
          <w:lang w:eastAsia="en-US"/>
        </w:rPr>
      </w:pPr>
      <w:r w:rsidRPr="000071E7">
        <w:rPr>
          <w:noProof/>
          <w:sz w:val="28"/>
          <w:szCs w:val="28"/>
        </w:rPr>
        <w:drawing>
          <wp:inline distT="0" distB="0" distL="0" distR="0" wp14:anchorId="6BA6124A" wp14:editId="5D189E63">
            <wp:extent cx="5200650" cy="3264794"/>
            <wp:effectExtent l="0" t="0" r="0" b="0"/>
            <wp:docPr id="1" name="Рисунок 1" descr="https://ntc.gazprom-neft.ru/upload/medialibrary/93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tc.gazprom-neft.ru/upload/medialibrary/937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69" cy="32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D1B5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rPr>
          <w:rFonts w:eastAsia="F16"/>
          <w:sz w:val="28"/>
          <w:szCs w:val="28"/>
          <w:lang w:eastAsia="en-US"/>
        </w:rPr>
      </w:pPr>
    </w:p>
    <w:p w14:paraId="415FDB34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jc w:val="both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Рисунок 1.2.1 – </w:t>
      </w:r>
      <w:proofErr w:type="spellStart"/>
      <w:r w:rsidRPr="000071E7">
        <w:rPr>
          <w:rFonts w:eastAsia="F16"/>
          <w:sz w:val="28"/>
          <w:szCs w:val="28"/>
          <w:lang w:eastAsia="en-US"/>
        </w:rPr>
        <w:t>клиноформная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модель Западной Сибири  (1 — река; 2 — дельта реки; 3 — суша; 4 — приморские озера; 5 — береговая линия; 6 — шельф; 7 — бары открытого моря; 8 — бровка шельфа; 9 — плоскостной смыв; 10 — оползни; 11 — каналы </w:t>
      </w:r>
      <w:proofErr w:type="spellStart"/>
      <w:r w:rsidRPr="000071E7">
        <w:rPr>
          <w:rFonts w:eastAsia="F16"/>
          <w:sz w:val="28"/>
          <w:szCs w:val="28"/>
          <w:lang w:eastAsia="en-US"/>
        </w:rPr>
        <w:t>мутьевых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потоков; 12 — песчано-алевритовые конусы выносов </w:t>
      </w:r>
      <w:proofErr w:type="spellStart"/>
      <w:r w:rsidRPr="000071E7">
        <w:rPr>
          <w:rFonts w:eastAsia="F16"/>
          <w:sz w:val="28"/>
          <w:szCs w:val="28"/>
          <w:lang w:eastAsia="en-US"/>
        </w:rPr>
        <w:t>мутьевых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потоков (</w:t>
      </w:r>
      <w:proofErr w:type="spellStart"/>
      <w:r w:rsidRPr="000071E7">
        <w:rPr>
          <w:rFonts w:eastAsia="F16"/>
          <w:sz w:val="28"/>
          <w:szCs w:val="28"/>
          <w:lang w:eastAsia="en-US"/>
        </w:rPr>
        <w:t>турбидиты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); 13 — дистальные </w:t>
      </w:r>
      <w:proofErr w:type="spellStart"/>
      <w:r w:rsidRPr="000071E7">
        <w:rPr>
          <w:rFonts w:eastAsia="F16"/>
          <w:sz w:val="28"/>
          <w:szCs w:val="28"/>
          <w:lang w:eastAsia="en-US"/>
        </w:rPr>
        <w:t>гемипелагические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илы; 14 — песчаные волны (рифели); 15 — </w:t>
      </w:r>
      <w:proofErr w:type="spellStart"/>
      <w:r w:rsidRPr="000071E7">
        <w:rPr>
          <w:rFonts w:eastAsia="F16"/>
          <w:sz w:val="28"/>
          <w:szCs w:val="28"/>
          <w:lang w:eastAsia="en-US"/>
        </w:rPr>
        <w:t>ачимовская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толща; 16 — глубоководные глинисто-битуминозные отложения (</w:t>
      </w:r>
      <w:proofErr w:type="spellStart"/>
      <w:r w:rsidRPr="000071E7">
        <w:rPr>
          <w:rFonts w:eastAsia="F16"/>
          <w:sz w:val="28"/>
          <w:szCs w:val="28"/>
          <w:lang w:eastAsia="en-US"/>
        </w:rPr>
        <w:t>баженовская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свита)) (https://ntc.gazprom-neft.ru/research-and-development/papers/9465/)</w:t>
      </w:r>
    </w:p>
    <w:p w14:paraId="15693A8D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rPr>
          <w:rFonts w:eastAsia="F16"/>
          <w:sz w:val="28"/>
          <w:szCs w:val="28"/>
          <w:lang w:eastAsia="en-US"/>
        </w:rPr>
      </w:pPr>
    </w:p>
    <w:p w14:paraId="00F7F2D7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Учитывая </w:t>
      </w:r>
      <w:proofErr w:type="spellStart"/>
      <w:r w:rsidRPr="000071E7">
        <w:rPr>
          <w:rFonts w:eastAsia="F16"/>
          <w:sz w:val="28"/>
          <w:szCs w:val="28"/>
          <w:lang w:eastAsia="en-US"/>
        </w:rPr>
        <w:t>клиноформную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модель строения </w:t>
      </w:r>
      <w:proofErr w:type="spellStart"/>
      <w:r w:rsidRPr="000071E7">
        <w:rPr>
          <w:rFonts w:eastAsia="F16"/>
          <w:sz w:val="28"/>
          <w:szCs w:val="28"/>
          <w:lang w:eastAsia="en-US"/>
        </w:rPr>
        <w:t>неокомских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отложений, можно сказать, что формирование </w:t>
      </w:r>
      <w:proofErr w:type="spellStart"/>
      <w:r w:rsidRPr="000071E7">
        <w:rPr>
          <w:rFonts w:eastAsia="F16"/>
          <w:sz w:val="28"/>
          <w:szCs w:val="28"/>
          <w:lang w:eastAsia="en-US"/>
        </w:rPr>
        <w:t>ачимовских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отложений происходило путем перемещения </w:t>
      </w:r>
      <w:proofErr w:type="spellStart"/>
      <w:r w:rsidRPr="000071E7">
        <w:rPr>
          <w:rFonts w:eastAsia="F16"/>
          <w:sz w:val="28"/>
          <w:szCs w:val="28"/>
          <w:lang w:eastAsia="en-US"/>
        </w:rPr>
        <w:t>песчано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- </w:t>
      </w:r>
      <w:proofErr w:type="spellStart"/>
      <w:r w:rsidRPr="000071E7">
        <w:rPr>
          <w:rFonts w:eastAsia="F16"/>
          <w:sz w:val="28"/>
          <w:szCs w:val="28"/>
          <w:lang w:eastAsia="en-US"/>
        </w:rPr>
        <w:t>алевритистых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осадков в виде оползней и </w:t>
      </w:r>
      <w:proofErr w:type="spellStart"/>
      <w:r w:rsidRPr="000071E7">
        <w:rPr>
          <w:rFonts w:eastAsia="F16"/>
          <w:sz w:val="28"/>
          <w:szCs w:val="28"/>
          <w:lang w:eastAsia="en-US"/>
        </w:rPr>
        <w:t>мутьевых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потоков из зоны мелководья в </w:t>
      </w:r>
      <w:proofErr w:type="spellStart"/>
      <w:r w:rsidRPr="000071E7">
        <w:rPr>
          <w:rFonts w:eastAsia="F16"/>
          <w:sz w:val="28"/>
          <w:szCs w:val="28"/>
          <w:lang w:eastAsia="en-US"/>
        </w:rPr>
        <w:t>глубоководно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- морские условия. А образование </w:t>
      </w:r>
      <w:proofErr w:type="spellStart"/>
      <w:r w:rsidRPr="000071E7">
        <w:rPr>
          <w:rFonts w:eastAsia="F16"/>
          <w:sz w:val="28"/>
          <w:szCs w:val="28"/>
          <w:lang w:eastAsia="en-US"/>
        </w:rPr>
        <w:t>подачимовской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глинистой корки связано с выклиниванием песчаных тел подстилающих битуминозных отложений </w:t>
      </w:r>
      <w:proofErr w:type="spellStart"/>
      <w:r w:rsidRPr="000071E7">
        <w:rPr>
          <w:rFonts w:eastAsia="F16"/>
          <w:sz w:val="28"/>
          <w:szCs w:val="28"/>
          <w:lang w:eastAsia="en-US"/>
        </w:rPr>
        <w:t>баженовской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свиты.</w:t>
      </w:r>
    </w:p>
    <w:p w14:paraId="432BDDC0" w14:textId="77777777" w:rsidR="003A4AEF" w:rsidRPr="000071E7" w:rsidRDefault="003A4AEF" w:rsidP="003A4AE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Fonts w:eastAsia="F16"/>
          <w:sz w:val="28"/>
          <w:szCs w:val="28"/>
          <w:lang w:eastAsia="en-US"/>
        </w:rPr>
      </w:pPr>
      <w:r w:rsidRPr="000071E7">
        <w:rPr>
          <w:rFonts w:eastAsia="F16"/>
          <w:sz w:val="28"/>
          <w:szCs w:val="28"/>
          <w:lang w:eastAsia="en-US"/>
        </w:rPr>
        <w:t xml:space="preserve">В Западной Сибири выделено 14-15 </w:t>
      </w:r>
      <w:proofErr w:type="spellStart"/>
      <w:r w:rsidRPr="000071E7">
        <w:rPr>
          <w:rFonts w:eastAsia="F16"/>
          <w:sz w:val="28"/>
          <w:szCs w:val="28"/>
          <w:lang w:eastAsia="en-US"/>
        </w:rPr>
        <w:t>клиноформных</w:t>
      </w:r>
      <w:proofErr w:type="spellEnd"/>
      <w:r w:rsidRPr="000071E7">
        <w:rPr>
          <w:rFonts w:eastAsia="F16"/>
          <w:sz w:val="28"/>
          <w:szCs w:val="28"/>
          <w:lang w:eastAsia="en-US"/>
        </w:rPr>
        <w:t xml:space="preserve"> резервуаров, каждый из которых перекрыт выдержанной глинистой пачкой (рисунок 1.2.2).</w:t>
      </w:r>
    </w:p>
    <w:p w14:paraId="04E6D8B6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11F66" wp14:editId="389E40F4">
            <wp:extent cx="5760085" cy="1894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6169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 xml:space="preserve">Рисунок 1.2.2 – Принципиальная модель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клиноформного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строения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неокомского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продуктивного комплекса центральных районов Западной Сибири (</w:t>
      </w:r>
      <w:hyperlink r:id="rId14" w:history="1">
        <w:r w:rsidRPr="000071E7">
          <w:rPr>
            <w:rStyle w:val="ad"/>
            <w:rFonts w:ascii="Times New Roman" w:hAnsi="Times New Roman" w:cs="Times New Roman"/>
            <w:sz w:val="28"/>
            <w:szCs w:val="28"/>
          </w:rPr>
          <w:t>http://www.nsc.ru/win/sbras/rep/97/noz1.html</w:t>
        </w:r>
      </w:hyperlink>
      <w:r w:rsidRPr="000071E7">
        <w:rPr>
          <w:rFonts w:ascii="Times New Roman" w:hAnsi="Times New Roman" w:cs="Times New Roman"/>
          <w:sz w:val="28"/>
          <w:szCs w:val="28"/>
        </w:rPr>
        <w:t>)</w:t>
      </w:r>
    </w:p>
    <w:p w14:paraId="53E9C1D3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BD9CD6" w14:textId="77777777" w:rsidR="003A4AEF" w:rsidRPr="000071E7" w:rsidRDefault="003A4AEF" w:rsidP="003A4A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71E7">
        <w:rPr>
          <w:rFonts w:ascii="Times New Roman" w:hAnsi="Times New Roman" w:cs="Times New Roman"/>
          <w:sz w:val="28"/>
          <w:szCs w:val="28"/>
        </w:rPr>
        <w:t>Как мы видим</w:t>
      </w:r>
      <w:proofErr w:type="gramEnd"/>
      <w:r w:rsidRPr="000071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клиноформы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Западной Сибири имеют северо-восточное простирание. Они наклонены на запад и в целом представляют из себя форму кривой трапеции с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выполаживанием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к основанию.</w:t>
      </w:r>
      <w:r w:rsidRPr="000071E7">
        <w:rPr>
          <w:rFonts w:ascii="Times New Roman" w:eastAsia="F16" w:hAnsi="Times New Roman" w:cs="Times New Roman"/>
          <w:sz w:val="28"/>
          <w:szCs w:val="28"/>
        </w:rPr>
        <w:t xml:space="preserve">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Клиноформная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модель является революционной для своего времени идеей, которая в будущем будет еще не раз подтверждаться практикой геологоразведочных работ.</w:t>
      </w:r>
    </w:p>
    <w:p w14:paraId="0A3687C6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037C16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4" w:name="_Toc39844886"/>
      <w:r w:rsidRPr="000071E7">
        <w:rPr>
          <w:rFonts w:ascii="Times New Roman" w:hAnsi="Times New Roman" w:cs="Times New Roman"/>
          <w:sz w:val="28"/>
          <w:szCs w:val="28"/>
        </w:rPr>
        <w:t xml:space="preserve">Характеристика коллекторов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Ачимовского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bookmarkEnd w:id="4"/>
    </w:p>
    <w:p w14:paraId="45BC4AEF" w14:textId="77777777" w:rsidR="003A4AEF" w:rsidRPr="000071E7" w:rsidRDefault="003A4AEF" w:rsidP="003A4AEF">
      <w:pPr>
        <w:pStyle w:val="ae"/>
        <w:spacing w:line="240" w:lineRule="auto"/>
        <w:ind w:left="1020"/>
        <w:rPr>
          <w:rFonts w:eastAsia="F16"/>
          <w:sz w:val="28"/>
          <w:szCs w:val="28"/>
          <w:lang w:val="ru-RU"/>
        </w:rPr>
      </w:pPr>
    </w:p>
    <w:p w14:paraId="63937EBA" w14:textId="77777777" w:rsidR="003A4AEF" w:rsidRPr="000071E7" w:rsidRDefault="003A4AEF" w:rsidP="003A4AEF">
      <w:pPr>
        <w:spacing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>Породы-коллекторы – горные породы, которые обладают емкостью, достаточной для того, чтобы вмещать углеводород разного фазового состояния и проницаемости.</w:t>
      </w:r>
    </w:p>
    <w:p w14:paraId="2C717F7C" w14:textId="77777777" w:rsidR="003A4AEF" w:rsidRPr="000071E7" w:rsidRDefault="003A4AEF" w:rsidP="003A4AEF">
      <w:pPr>
        <w:spacing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>Коллекторы могут быть двух типов:</w:t>
      </w:r>
    </w:p>
    <w:p w14:paraId="193490B1" w14:textId="49012BCC" w:rsidR="003A4AEF" w:rsidRPr="000071E7" w:rsidRDefault="003A4AEF" w:rsidP="003A4AEF">
      <w:pPr>
        <w:spacing w:line="240" w:lineRule="auto"/>
        <w:ind w:firstLine="708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 xml:space="preserve">      1)Терригенные:</w:t>
      </w:r>
    </w:p>
    <w:p w14:paraId="109F8536" w14:textId="77777777" w:rsidR="003A4AEF" w:rsidRPr="000071E7" w:rsidRDefault="003A4AEF" w:rsidP="003A4AEF">
      <w:pPr>
        <w:pStyle w:val="ae"/>
        <w:spacing w:line="240" w:lineRule="auto"/>
        <w:ind w:firstLine="709"/>
        <w:rPr>
          <w:rFonts w:eastAsia="F16"/>
          <w:sz w:val="28"/>
          <w:szCs w:val="28"/>
          <w:lang w:val="ru-RU"/>
        </w:rPr>
      </w:pPr>
      <w:r w:rsidRPr="000071E7">
        <w:rPr>
          <w:rFonts w:eastAsia="F16"/>
          <w:sz w:val="28"/>
          <w:szCs w:val="28"/>
          <w:lang w:val="ru-RU"/>
        </w:rPr>
        <w:t>-пески</w:t>
      </w:r>
    </w:p>
    <w:p w14:paraId="52C610DA" w14:textId="77777777" w:rsidR="003A4AEF" w:rsidRPr="000071E7" w:rsidRDefault="003A4AEF" w:rsidP="003A4AEF">
      <w:pPr>
        <w:pStyle w:val="ae"/>
        <w:spacing w:line="240" w:lineRule="auto"/>
        <w:ind w:firstLine="709"/>
        <w:rPr>
          <w:rFonts w:eastAsia="F16"/>
          <w:sz w:val="28"/>
          <w:szCs w:val="28"/>
          <w:lang w:val="ru-RU"/>
        </w:rPr>
      </w:pPr>
      <w:r w:rsidRPr="000071E7">
        <w:rPr>
          <w:rFonts w:eastAsia="F16"/>
          <w:sz w:val="28"/>
          <w:szCs w:val="28"/>
          <w:lang w:val="ru-RU"/>
        </w:rPr>
        <w:t>-песчаники</w:t>
      </w:r>
    </w:p>
    <w:p w14:paraId="138169CB" w14:textId="77777777" w:rsidR="003A4AEF" w:rsidRPr="000071E7" w:rsidRDefault="003A4AEF" w:rsidP="003A4AEF">
      <w:pPr>
        <w:pStyle w:val="ae"/>
        <w:spacing w:line="240" w:lineRule="auto"/>
        <w:ind w:firstLine="709"/>
        <w:rPr>
          <w:rFonts w:eastAsia="F16"/>
          <w:sz w:val="28"/>
          <w:szCs w:val="28"/>
          <w:lang w:val="ru-RU"/>
        </w:rPr>
      </w:pPr>
      <w:r w:rsidRPr="000071E7">
        <w:rPr>
          <w:rFonts w:eastAsia="F16"/>
          <w:sz w:val="28"/>
          <w:szCs w:val="28"/>
          <w:lang w:val="ru-RU"/>
        </w:rPr>
        <w:t>-алевриты</w:t>
      </w:r>
    </w:p>
    <w:p w14:paraId="66C4481E" w14:textId="77777777" w:rsidR="003A4AEF" w:rsidRPr="000071E7" w:rsidRDefault="003A4AEF" w:rsidP="003A4AEF">
      <w:pPr>
        <w:spacing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 xml:space="preserve">      2) Карбонатные </w:t>
      </w:r>
    </w:p>
    <w:p w14:paraId="130F89A8" w14:textId="77777777" w:rsidR="003A4AEF" w:rsidRPr="000071E7" w:rsidRDefault="003A4AEF" w:rsidP="003A4AEF">
      <w:pPr>
        <w:spacing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>Основное свойство-наличие в породах пустотного пространства.</w:t>
      </w:r>
    </w:p>
    <w:p w14:paraId="5620B4F1" w14:textId="77777777" w:rsidR="003A4AEF" w:rsidRPr="000071E7" w:rsidRDefault="003A4AEF" w:rsidP="003A4AEF">
      <w:pPr>
        <w:spacing w:after="0"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>Выделение коллектора – одна из самых важных задач, которые решают методы геофизических исследований скважин. Решение данной задачи основано в первую очередь на различиях физических свойств пород. Например, у пород-коллекторов повышенная пористость.</w:t>
      </w:r>
    </w:p>
    <w:p w14:paraId="3FCA6342" w14:textId="77777777" w:rsidR="003A4AEF" w:rsidRPr="000071E7" w:rsidRDefault="003A4AEF" w:rsidP="003A4AEF">
      <w:pPr>
        <w:spacing w:after="0"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Ачимовское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месторождения относят к достаточно сложному типу, это связано с его уникальным геологическим строением. Основная составляющая коллекторов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Ачимовского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месторождения преимущественно представлена 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переслаиванием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 xml:space="preserve"> мелкозернистых песчаников, крупнозернистых алевритов и </w:t>
      </w:r>
      <w:r w:rsidRPr="000071E7">
        <w:rPr>
          <w:rFonts w:ascii="Times New Roman" w:eastAsia="F16" w:hAnsi="Times New Roman" w:cs="Times New Roman"/>
          <w:sz w:val="28"/>
          <w:szCs w:val="28"/>
        </w:rPr>
        <w:lastRenderedPageBreak/>
        <w:t>непроницаемых аргиллитов. Месторождение располагается на глубине 4000 м и залегает при высоком давлении (более 600 атмосфер). Коллекторы на участке распределены неоднородно ни по разрезу, ни по размеру, имеют линзовидный характер. Открытая пористость коллекторов варьирует от 5.6% до 21%. Литологические особенности обуславливают высокий разброс проницаемости алевритов и песчаников – от 0.5 до 20*10</w:t>
      </w:r>
      <w:r w:rsidRPr="000071E7">
        <w:rPr>
          <w:rFonts w:ascii="Times New Roman" w:eastAsia="F16" w:hAnsi="Times New Roman" w:cs="Times New Roman"/>
          <w:sz w:val="28"/>
          <w:szCs w:val="28"/>
          <w:vertAlign w:val="superscript"/>
        </w:rPr>
        <w:t>-3</w:t>
      </w:r>
      <w:r w:rsidRPr="000071E7">
        <w:rPr>
          <w:rFonts w:ascii="Times New Roman" w:eastAsia="F16" w:hAnsi="Times New Roman" w:cs="Times New Roman"/>
          <w:sz w:val="28"/>
          <w:szCs w:val="28"/>
        </w:rPr>
        <w:t xml:space="preserve"> мкм</w:t>
      </w:r>
      <w:r w:rsidRPr="000071E7">
        <w:rPr>
          <w:rFonts w:ascii="Times New Roman" w:eastAsia="F16" w:hAnsi="Times New Roman" w:cs="Times New Roman"/>
          <w:sz w:val="28"/>
          <w:szCs w:val="28"/>
          <w:vertAlign w:val="superscript"/>
        </w:rPr>
        <w:t>2</w:t>
      </w:r>
      <w:r w:rsidRPr="000071E7">
        <w:rPr>
          <w:rFonts w:ascii="Times New Roman" w:eastAsia="F16" w:hAnsi="Times New Roman" w:cs="Times New Roman"/>
          <w:sz w:val="28"/>
          <w:szCs w:val="28"/>
        </w:rPr>
        <w:t>.</w:t>
      </w:r>
    </w:p>
    <w:p w14:paraId="524EAF6C" w14:textId="77777777" w:rsidR="003A4AEF" w:rsidRPr="000071E7" w:rsidRDefault="003A4AEF" w:rsidP="003A4AEF">
      <w:pPr>
        <w:spacing w:after="0" w:line="240" w:lineRule="auto"/>
        <w:ind w:firstLine="709"/>
        <w:jc w:val="both"/>
        <w:rPr>
          <w:rFonts w:ascii="Times New Roman" w:eastAsia="F16" w:hAnsi="Times New Roman" w:cs="Times New Roman"/>
          <w:sz w:val="28"/>
          <w:szCs w:val="28"/>
        </w:rPr>
      </w:pPr>
      <w:r w:rsidRPr="000071E7">
        <w:rPr>
          <w:rFonts w:ascii="Times New Roman" w:eastAsia="F16" w:hAnsi="Times New Roman" w:cs="Times New Roman"/>
          <w:sz w:val="28"/>
          <w:szCs w:val="28"/>
        </w:rPr>
        <w:t>Несмотря на хорошую емкостную характеристику коллекторов, фильтрационная способность достаточно низкая. Причиной этому является, как уже упоминалось ранее, уникальное геологическое строение месторождения. Для данной толщи характерна плохая сортировка и беспорядочная упаковка обломочного материала, высокая глинистость, также здесь присутствуют области замещения пород-коллекторов более плотными породами (</w:t>
      </w:r>
      <w:proofErr w:type="spellStart"/>
      <w:r w:rsidRPr="000071E7">
        <w:rPr>
          <w:rFonts w:ascii="Times New Roman" w:eastAsia="F16" w:hAnsi="Times New Roman" w:cs="Times New Roman"/>
          <w:sz w:val="28"/>
          <w:szCs w:val="28"/>
        </w:rPr>
        <w:t>карбонитизация</w:t>
      </w:r>
      <w:proofErr w:type="spellEnd"/>
      <w:r w:rsidRPr="000071E7">
        <w:rPr>
          <w:rFonts w:ascii="Times New Roman" w:eastAsia="F16" w:hAnsi="Times New Roman" w:cs="Times New Roman"/>
          <w:sz w:val="28"/>
          <w:szCs w:val="28"/>
        </w:rPr>
        <w:t>). Эти факторы напрямую влияют на структуру пустотного пространства коллекторов, значительно усложняя ее. Покрышками резервуаров являются морские глины.</w:t>
      </w:r>
    </w:p>
    <w:p w14:paraId="2FAC90E9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EB39F" wp14:editId="5CADB294">
            <wp:extent cx="4542079" cy="2019300"/>
            <wp:effectExtent l="0" t="0" r="0" b="0"/>
            <wp:docPr id="3" name="Рисунок 3" descr="Ачимовские от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чимовские отлож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58" cy="20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09D9" w14:textId="77777777" w:rsidR="003A4AEF" w:rsidRPr="000071E7" w:rsidRDefault="003A4AEF" w:rsidP="003A4A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>Рисунок 1.3.1 – Распределение разных залежей (</w:t>
      </w:r>
      <w:hyperlink r:id="rId16" w:history="1">
        <w:r w:rsidRPr="000071E7">
          <w:rPr>
            <w:rStyle w:val="ad"/>
            <w:rFonts w:ascii="Times New Roman" w:hAnsi="Times New Roman" w:cs="Times New Roman"/>
            <w:sz w:val="28"/>
            <w:szCs w:val="28"/>
          </w:rPr>
          <w:t>https://neftegaz.ru/tech-library/mestorozhdeniya/141770-achimovskie-otlozheniya/</w:t>
        </w:r>
      </w:hyperlink>
      <w:r w:rsidRPr="000071E7">
        <w:rPr>
          <w:rFonts w:ascii="Times New Roman" w:hAnsi="Times New Roman" w:cs="Times New Roman"/>
          <w:sz w:val="28"/>
          <w:szCs w:val="28"/>
        </w:rPr>
        <w:t>)</w:t>
      </w:r>
    </w:p>
    <w:p w14:paraId="55C67D15" w14:textId="77777777" w:rsidR="003A4AEF" w:rsidRPr="000071E7" w:rsidRDefault="003A4AEF" w:rsidP="003A4A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E7">
        <w:rPr>
          <w:rFonts w:ascii="Times New Roman" w:hAnsi="Times New Roman" w:cs="Times New Roman"/>
          <w:sz w:val="28"/>
          <w:szCs w:val="28"/>
        </w:rPr>
        <w:t xml:space="preserve">Подобные условия залегания углеводородов сильно увеличивают стоимость ее добычи. Поэтому в сравнении с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Сеноманскими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отложениями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себестоистоимость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добычи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Ачимовских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дороже в 10-15 раз. Однако добыча углеводородов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Сеноманских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отложений начинает истощаться, поэтому для продолжения эксплуатации данного района разработка </w:t>
      </w:r>
      <w:proofErr w:type="spellStart"/>
      <w:r w:rsidRPr="000071E7">
        <w:rPr>
          <w:rFonts w:ascii="Times New Roman" w:hAnsi="Times New Roman" w:cs="Times New Roman"/>
          <w:sz w:val="28"/>
          <w:szCs w:val="28"/>
        </w:rPr>
        <w:t>Ачимовских</w:t>
      </w:r>
      <w:proofErr w:type="spellEnd"/>
      <w:r w:rsidRPr="000071E7">
        <w:rPr>
          <w:rFonts w:ascii="Times New Roman" w:hAnsi="Times New Roman" w:cs="Times New Roman"/>
          <w:sz w:val="28"/>
          <w:szCs w:val="28"/>
        </w:rPr>
        <w:t xml:space="preserve"> залежей необходима.</w:t>
      </w:r>
    </w:p>
    <w:p w14:paraId="001B0901" w14:textId="21BB236F" w:rsidR="00F31198" w:rsidRPr="000071E7" w:rsidRDefault="00F31198" w:rsidP="003A4AEF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071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8350A76" w14:textId="77777777" w:rsidR="00F31198" w:rsidRPr="000071E7" w:rsidRDefault="00F31198" w:rsidP="003A4AEF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5DF12F5" w14:textId="77777777" w:rsidR="00F31198" w:rsidRPr="000071E7" w:rsidRDefault="00F31198" w:rsidP="003A4AEF">
      <w:pPr>
        <w:spacing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071E7">
        <w:rPr>
          <w:rFonts w:ascii="Times New Roman" w:eastAsiaTheme="minorEastAsia" w:hAnsi="Times New Roman" w:cs="Times New Roman"/>
          <w:sz w:val="28"/>
          <w:szCs w:val="28"/>
        </w:rPr>
        <w:t>Литература</w:t>
      </w:r>
    </w:p>
    <w:p w14:paraId="716040BC" w14:textId="646E0ABE" w:rsidR="00F31198" w:rsidRPr="000071E7" w:rsidRDefault="00F31198" w:rsidP="003A4AEF">
      <w:pPr>
        <w:pStyle w:val="ae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 w:hanging="357"/>
        <w:rPr>
          <w:rFonts w:eastAsiaTheme="minorEastAsia"/>
          <w:i/>
          <w:iCs/>
          <w:sz w:val="28"/>
          <w:szCs w:val="28"/>
          <w:bdr w:val="none" w:sz="0" w:space="0" w:color="auto"/>
          <w:lang w:val="ru-RU"/>
        </w:rPr>
      </w:pPr>
      <w:r w:rsidRPr="000071E7">
        <w:rPr>
          <w:rFonts w:eastAsiaTheme="minorEastAsia"/>
          <w:i/>
          <w:iCs/>
          <w:sz w:val="28"/>
          <w:szCs w:val="28"/>
          <w:bdr w:val="none" w:sz="0" w:space="0" w:color="auto"/>
          <w:lang w:val="ru-RU"/>
        </w:rPr>
        <w:t xml:space="preserve"> Мараев И.А. Комплексная интерпретация результатов геофизических исследований скважин. Учебное пособие. - М.</w:t>
      </w:r>
      <w:proofErr w:type="gramStart"/>
      <w:r w:rsidRPr="000071E7">
        <w:rPr>
          <w:rFonts w:eastAsiaTheme="minorEastAsia"/>
          <w:i/>
          <w:iCs/>
          <w:sz w:val="28"/>
          <w:szCs w:val="28"/>
          <w:bdr w:val="none" w:sz="0" w:space="0" w:color="auto"/>
          <w:lang w:val="ru-RU"/>
        </w:rPr>
        <w:t>; ,</w:t>
      </w:r>
      <w:proofErr w:type="gramEnd"/>
      <w:r w:rsidRPr="000071E7">
        <w:rPr>
          <w:rFonts w:eastAsiaTheme="minorEastAsia"/>
          <w:i/>
          <w:iCs/>
          <w:sz w:val="28"/>
          <w:szCs w:val="28"/>
          <w:bdr w:val="none" w:sz="0" w:space="0" w:color="auto"/>
          <w:lang w:val="ru-RU"/>
        </w:rPr>
        <w:t xml:space="preserve"> 2013. – 95 с.</w:t>
      </w:r>
    </w:p>
    <w:p w14:paraId="6CC108F2" w14:textId="2F43B58F" w:rsidR="00F31198" w:rsidRPr="000071E7" w:rsidRDefault="0088465D" w:rsidP="003A4AEF">
      <w:pPr>
        <w:pStyle w:val="ae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 w:hanging="357"/>
        <w:rPr>
          <w:rFonts w:eastAsiaTheme="minorEastAsia"/>
          <w:i/>
          <w:iCs/>
          <w:sz w:val="28"/>
          <w:szCs w:val="28"/>
          <w:bdr w:val="none" w:sz="0" w:space="0" w:color="auto"/>
          <w:lang w:val="ru-RU"/>
        </w:rPr>
      </w:pPr>
      <w:r w:rsidRPr="000071E7">
        <w:rPr>
          <w:sz w:val="28"/>
          <w:szCs w:val="28"/>
        </w:rPr>
        <w:t>https://helpiks.org/9-63393.html</w:t>
      </w:r>
    </w:p>
    <w:sectPr w:rsidR="00F31198" w:rsidRPr="000071E7" w:rsidSect="003A4AE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5C9B9" w14:textId="77777777" w:rsidR="0033777C" w:rsidRDefault="0033777C" w:rsidP="00B2404D">
      <w:pPr>
        <w:spacing w:after="0" w:line="240" w:lineRule="auto"/>
      </w:pPr>
      <w:r>
        <w:separator/>
      </w:r>
    </w:p>
  </w:endnote>
  <w:endnote w:type="continuationSeparator" w:id="0">
    <w:p w14:paraId="2B75BD47" w14:textId="77777777" w:rsidR="0033777C" w:rsidRDefault="0033777C" w:rsidP="00B24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16">
    <w:altName w:val="Malgun Gothic Semilight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6636F" w14:textId="77777777" w:rsidR="0033777C" w:rsidRDefault="0033777C" w:rsidP="00B2404D">
      <w:pPr>
        <w:spacing w:after="0" w:line="240" w:lineRule="auto"/>
      </w:pPr>
      <w:r>
        <w:separator/>
      </w:r>
    </w:p>
  </w:footnote>
  <w:footnote w:type="continuationSeparator" w:id="0">
    <w:p w14:paraId="3F188DD5" w14:textId="77777777" w:rsidR="0033777C" w:rsidRDefault="0033777C" w:rsidP="00B24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1pt;height:9.75pt;visibility:visible;mso-wrap-style:square" o:bullet="t">
        <v:imagedata r:id="rId1" o:title=""/>
      </v:shape>
    </w:pict>
  </w:numPicBullet>
  <w:abstractNum w:abstractNumId="0" w15:restartNumberingAfterBreak="0">
    <w:nsid w:val="027D1378"/>
    <w:multiLevelType w:val="hybridMultilevel"/>
    <w:tmpl w:val="7A860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D4D4E"/>
    <w:multiLevelType w:val="hybridMultilevel"/>
    <w:tmpl w:val="0C08EFC0"/>
    <w:lvl w:ilvl="0" w:tplc="6CA69434">
      <w:start w:val="1"/>
      <w:numFmt w:val="decimal"/>
      <w:pStyle w:val="2"/>
      <w:lvlText w:val="2.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2EE54DBE"/>
    <w:multiLevelType w:val="hybridMultilevel"/>
    <w:tmpl w:val="490A6106"/>
    <w:lvl w:ilvl="0" w:tplc="2CB6BA52">
      <w:start w:val="1"/>
      <w:numFmt w:val="decimal"/>
      <w:pStyle w:val="a"/>
      <w:lvlText w:val="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8F6602"/>
    <w:multiLevelType w:val="hybridMultilevel"/>
    <w:tmpl w:val="CF7E9E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2476E"/>
    <w:multiLevelType w:val="hybridMultilevel"/>
    <w:tmpl w:val="5274C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D5A25"/>
    <w:multiLevelType w:val="hybridMultilevel"/>
    <w:tmpl w:val="01AA0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1463C"/>
    <w:multiLevelType w:val="multilevel"/>
    <w:tmpl w:val="798676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E35"/>
    <w:rsid w:val="000071E7"/>
    <w:rsid w:val="000305E7"/>
    <w:rsid w:val="00054B5C"/>
    <w:rsid w:val="000831F9"/>
    <w:rsid w:val="00095058"/>
    <w:rsid w:val="000B0D55"/>
    <w:rsid w:val="000D1CCE"/>
    <w:rsid w:val="000E5887"/>
    <w:rsid w:val="00130B37"/>
    <w:rsid w:val="00141E56"/>
    <w:rsid w:val="00194CCE"/>
    <w:rsid w:val="00240F47"/>
    <w:rsid w:val="0025637F"/>
    <w:rsid w:val="00281060"/>
    <w:rsid w:val="00283F50"/>
    <w:rsid w:val="002B74A0"/>
    <w:rsid w:val="002E1D09"/>
    <w:rsid w:val="002F4C04"/>
    <w:rsid w:val="00316532"/>
    <w:rsid w:val="0033777C"/>
    <w:rsid w:val="00372650"/>
    <w:rsid w:val="00391327"/>
    <w:rsid w:val="003A4AEF"/>
    <w:rsid w:val="003E1A30"/>
    <w:rsid w:val="00407568"/>
    <w:rsid w:val="00436FF8"/>
    <w:rsid w:val="004775D6"/>
    <w:rsid w:val="004864B1"/>
    <w:rsid w:val="004C125C"/>
    <w:rsid w:val="005257E9"/>
    <w:rsid w:val="00530FC1"/>
    <w:rsid w:val="00543FC4"/>
    <w:rsid w:val="005504A6"/>
    <w:rsid w:val="00562A10"/>
    <w:rsid w:val="005662CA"/>
    <w:rsid w:val="00587A35"/>
    <w:rsid w:val="00587C0A"/>
    <w:rsid w:val="00591C93"/>
    <w:rsid w:val="005B4B35"/>
    <w:rsid w:val="005C5D11"/>
    <w:rsid w:val="00636DD8"/>
    <w:rsid w:val="0066141F"/>
    <w:rsid w:val="006640AE"/>
    <w:rsid w:val="00736E7E"/>
    <w:rsid w:val="0075044D"/>
    <w:rsid w:val="00753368"/>
    <w:rsid w:val="00767797"/>
    <w:rsid w:val="00771DDC"/>
    <w:rsid w:val="00782111"/>
    <w:rsid w:val="007B3777"/>
    <w:rsid w:val="0081080E"/>
    <w:rsid w:val="00855FBE"/>
    <w:rsid w:val="00856F7D"/>
    <w:rsid w:val="0088465D"/>
    <w:rsid w:val="008B7966"/>
    <w:rsid w:val="008D0C18"/>
    <w:rsid w:val="008E5760"/>
    <w:rsid w:val="008F75C3"/>
    <w:rsid w:val="0096244D"/>
    <w:rsid w:val="009929ED"/>
    <w:rsid w:val="009D51C2"/>
    <w:rsid w:val="009D638E"/>
    <w:rsid w:val="009F44E7"/>
    <w:rsid w:val="009F7E48"/>
    <w:rsid w:val="009F7F0D"/>
    <w:rsid w:val="00A05B57"/>
    <w:rsid w:val="00A1541F"/>
    <w:rsid w:val="00A308B1"/>
    <w:rsid w:val="00A564D3"/>
    <w:rsid w:val="00A768BE"/>
    <w:rsid w:val="00A77458"/>
    <w:rsid w:val="00A93236"/>
    <w:rsid w:val="00A977D5"/>
    <w:rsid w:val="00AD5C73"/>
    <w:rsid w:val="00AD5D3F"/>
    <w:rsid w:val="00AF23FD"/>
    <w:rsid w:val="00B1152C"/>
    <w:rsid w:val="00B2404D"/>
    <w:rsid w:val="00B33CA8"/>
    <w:rsid w:val="00B406C8"/>
    <w:rsid w:val="00B77444"/>
    <w:rsid w:val="00B93FC8"/>
    <w:rsid w:val="00BB3FB3"/>
    <w:rsid w:val="00BE1094"/>
    <w:rsid w:val="00C02B1C"/>
    <w:rsid w:val="00C22B36"/>
    <w:rsid w:val="00C41158"/>
    <w:rsid w:val="00C47206"/>
    <w:rsid w:val="00CB641E"/>
    <w:rsid w:val="00CF6672"/>
    <w:rsid w:val="00D06190"/>
    <w:rsid w:val="00D0689B"/>
    <w:rsid w:val="00D47442"/>
    <w:rsid w:val="00D74AE4"/>
    <w:rsid w:val="00D953D8"/>
    <w:rsid w:val="00DC0919"/>
    <w:rsid w:val="00DC52F3"/>
    <w:rsid w:val="00DF38FD"/>
    <w:rsid w:val="00E13D00"/>
    <w:rsid w:val="00E20145"/>
    <w:rsid w:val="00E42F2A"/>
    <w:rsid w:val="00E9207A"/>
    <w:rsid w:val="00EB06BA"/>
    <w:rsid w:val="00EC178F"/>
    <w:rsid w:val="00EC4453"/>
    <w:rsid w:val="00ED1ABF"/>
    <w:rsid w:val="00EE3E21"/>
    <w:rsid w:val="00F31198"/>
    <w:rsid w:val="00F65742"/>
    <w:rsid w:val="00F83BDA"/>
    <w:rsid w:val="00F97E35"/>
    <w:rsid w:val="00FB23C0"/>
    <w:rsid w:val="00FB6550"/>
    <w:rsid w:val="00FC017C"/>
    <w:rsid w:val="00FE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EA716"/>
  <w15:chartTrackingRefBased/>
  <w15:docId w15:val="{D8E534F0-FFA9-4C38-9D45-D126EF6E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unhideWhenUsed/>
    <w:qFormat/>
    <w:rsid w:val="003A4AEF"/>
    <w:pPr>
      <w:keepNext/>
      <w:keepLines/>
      <w:numPr>
        <w:numId w:val="5"/>
      </w:numPr>
      <w:spacing w:before="100" w:beforeAutospacing="1" w:after="0" w:line="360" w:lineRule="auto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A05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1"/>
    <w:uiPriority w:val="99"/>
    <w:semiHidden/>
    <w:rsid w:val="00AD5D3F"/>
    <w:rPr>
      <w:color w:val="808080"/>
    </w:rPr>
  </w:style>
  <w:style w:type="paragraph" w:styleId="a6">
    <w:name w:val="caption"/>
    <w:basedOn w:val="a0"/>
    <w:next w:val="a0"/>
    <w:uiPriority w:val="35"/>
    <w:unhideWhenUsed/>
    <w:qFormat/>
    <w:rsid w:val="00A977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endnote text"/>
    <w:basedOn w:val="a0"/>
    <w:link w:val="a8"/>
    <w:uiPriority w:val="99"/>
    <w:semiHidden/>
    <w:unhideWhenUsed/>
    <w:rsid w:val="00B2404D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1"/>
    <w:link w:val="a7"/>
    <w:uiPriority w:val="99"/>
    <w:semiHidden/>
    <w:rsid w:val="00B2404D"/>
    <w:rPr>
      <w:sz w:val="20"/>
      <w:szCs w:val="20"/>
    </w:rPr>
  </w:style>
  <w:style w:type="character" w:styleId="a9">
    <w:name w:val="endnote reference"/>
    <w:basedOn w:val="a1"/>
    <w:uiPriority w:val="99"/>
    <w:semiHidden/>
    <w:unhideWhenUsed/>
    <w:rsid w:val="00B2404D"/>
    <w:rPr>
      <w:vertAlign w:val="superscript"/>
    </w:rPr>
  </w:style>
  <w:style w:type="paragraph" w:styleId="aa">
    <w:name w:val="footnote text"/>
    <w:basedOn w:val="a0"/>
    <w:link w:val="ab"/>
    <w:uiPriority w:val="99"/>
    <w:semiHidden/>
    <w:unhideWhenUsed/>
    <w:rsid w:val="00B2404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semiHidden/>
    <w:rsid w:val="00B2404D"/>
    <w:rPr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B2404D"/>
    <w:rPr>
      <w:vertAlign w:val="superscript"/>
    </w:rPr>
  </w:style>
  <w:style w:type="character" w:styleId="ad">
    <w:name w:val="Hyperlink"/>
    <w:uiPriority w:val="99"/>
    <w:rsid w:val="00BB3FB3"/>
    <w:rPr>
      <w:u w:val="single"/>
    </w:rPr>
  </w:style>
  <w:style w:type="paragraph" w:styleId="ae">
    <w:name w:val="List Paragraph"/>
    <w:basedOn w:val="a0"/>
    <w:link w:val="af"/>
    <w:uiPriority w:val="34"/>
    <w:qFormat/>
    <w:rsid w:val="00BB3FB3"/>
    <w:pPr>
      <w:pBdr>
        <w:top w:val="nil"/>
        <w:left w:val="nil"/>
        <w:bottom w:val="nil"/>
        <w:right w:val="nil"/>
        <w:between w:val="nil"/>
        <w:bar w:val="nil"/>
      </w:pBdr>
      <w:spacing w:after="60" w:line="360" w:lineRule="auto"/>
      <w:ind w:left="720" w:firstLine="851"/>
      <w:contextualSpacing/>
      <w:jc w:val="both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af">
    <w:name w:val="Абзац списка Знак"/>
    <w:link w:val="ae"/>
    <w:uiPriority w:val="34"/>
    <w:locked/>
    <w:rsid w:val="00BB3FB3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f0">
    <w:name w:val="Unresolved Mention"/>
    <w:basedOn w:val="a1"/>
    <w:uiPriority w:val="99"/>
    <w:semiHidden/>
    <w:unhideWhenUsed/>
    <w:rsid w:val="00636DD8"/>
    <w:rPr>
      <w:color w:val="605E5C"/>
      <w:shd w:val="clear" w:color="auto" w:fill="E1DFDD"/>
    </w:rPr>
  </w:style>
  <w:style w:type="character" w:styleId="af1">
    <w:name w:val="FollowedHyperlink"/>
    <w:basedOn w:val="a1"/>
    <w:uiPriority w:val="99"/>
    <w:semiHidden/>
    <w:unhideWhenUsed/>
    <w:rsid w:val="00F31198"/>
    <w:rPr>
      <w:color w:val="954F72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3A4AEF"/>
    <w:rPr>
      <w:rFonts w:ascii="Times New Roman" w:eastAsiaTheme="majorEastAsia" w:hAnsi="Times New Roman" w:cstheme="majorBidi"/>
      <w:sz w:val="24"/>
      <w:szCs w:val="26"/>
    </w:rPr>
  </w:style>
  <w:style w:type="paragraph" w:styleId="af2">
    <w:name w:val="Normal (Web)"/>
    <w:basedOn w:val="a0"/>
    <w:uiPriority w:val="99"/>
    <w:unhideWhenUsed/>
    <w:rsid w:val="003A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No Spacing"/>
    <w:uiPriority w:val="1"/>
    <w:qFormat/>
    <w:rsid w:val="003A4AEF"/>
    <w:pPr>
      <w:pageBreakBefore/>
      <w:numPr>
        <w:numId w:val="7"/>
      </w:numPr>
      <w:spacing w:after="240" w:line="360" w:lineRule="auto"/>
      <w:jc w:val="both"/>
      <w:outlineLvl w:val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eftegaz.ru/tech-library/mestorozhdeniya/141770-achimovskie-otlozhen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segei.ru/ru/info/gisatlas/ufo/khanty-mansiysky_ao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super\AppData\Roaming\Microsoft\Word\&#1052;&#1077;&#1089;&#1090;&#1086;&#1088;&#1086;&#1078;&#1076;&#1077;&#1085;&#1080;&#1103;%20&#1075;&#1086;&#1088;&#1102;&#1095;&#1080;&#1093;%20&#1087;&#1086;&#1083;&#1077;&#1079;&#1085;&#1099;&#1093;%20&#1080;&#1089;&#1082;&#1086;&#1087;&#1072;&#1077;&#1084;&#1099;&#1093;%20&#1061;&#1072;&#1085;&#1090;&#1099;-&#1052;&#1072;&#1085;&#1089;&#1080;&#1081;&#1089;&#1082;&#1075;&#1086;%20&#1072;&#1074;&#1090;&#1086;&#1085;&#1086;&#1084;&#1085;&#1086;&#1075;&#1086;%20&#1086;&#1082;&#1088;&#1091;&#1075;&#1072;" TargetMode="External"/><Relationship Id="rId14" Type="http://schemas.openxmlformats.org/officeDocument/2006/relationships/hyperlink" Target="http://www.nsc.ru/win/sbras/rep/97/noz1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B5C6B-2B6A-4702-9C7E-D1CC3916A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6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Фурсов</dc:creator>
  <cp:keywords/>
  <dc:description/>
  <cp:lastModifiedBy>Егор Бузмаков</cp:lastModifiedBy>
  <cp:revision>60</cp:revision>
  <cp:lastPrinted>2020-09-29T05:56:00Z</cp:lastPrinted>
  <dcterms:created xsi:type="dcterms:W3CDTF">2020-06-28T09:55:00Z</dcterms:created>
  <dcterms:modified xsi:type="dcterms:W3CDTF">2021-02-19T13:00:00Z</dcterms:modified>
</cp:coreProperties>
</file>