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02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62536C">
        <w:rPr>
          <w:rFonts w:eastAsia="Times New Roman"/>
          <w:b/>
          <w:kern w:val="36"/>
          <w:szCs w:val="24"/>
          <w:lang w:eastAsia="ru-RU"/>
        </w:rPr>
        <w:t>ОРГАНИЗАЦИЯ АВТОМОБИЛЬНОЙ ПЕРЕВОЗКИ ВИБРОСТЕНДА ИЗ САНКТ-ПЕТЕРБУРГА В ЯРОСЛАВЛЬ</w:t>
      </w:r>
    </w:p>
    <w:p w:rsidR="001F2A02" w:rsidRDefault="001F2A02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</w:p>
    <w:p w:rsidR="0062536C" w:rsidRDefault="0062536C" w:rsidP="007179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  <w:bookmarkStart w:id="0" w:name="_GoBack"/>
      <w:bookmarkEnd w:id="0"/>
    </w:p>
    <w:p w:rsidR="00ED7632" w:rsidRPr="0062536C" w:rsidRDefault="0080666C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  <w:r w:rsidRPr="0080666C">
        <w:rPr>
          <w:rFonts w:eastAsia="Times New Roman"/>
          <w:kern w:val="36"/>
          <w:szCs w:val="24"/>
          <w:lang w:eastAsia="ru-RU"/>
        </w:rPr>
        <w:t xml:space="preserve">Испытательное оборудование — </w:t>
      </w:r>
      <w:r>
        <w:rPr>
          <w:rFonts w:eastAsia="Times New Roman"/>
          <w:kern w:val="36"/>
          <w:szCs w:val="24"/>
          <w:lang w:eastAsia="ru-RU"/>
        </w:rPr>
        <w:t>технические устройства позволяющие воспроизводить условия испытаний</w:t>
      </w:r>
      <w:r w:rsidRPr="0080666C">
        <w:rPr>
          <w:rFonts w:eastAsia="Times New Roman"/>
          <w:kern w:val="36"/>
          <w:szCs w:val="24"/>
          <w:lang w:eastAsia="ru-RU"/>
        </w:rPr>
        <w:t>[1]</w:t>
      </w:r>
      <w:r>
        <w:rPr>
          <w:rFonts w:eastAsia="Times New Roman"/>
          <w:kern w:val="36"/>
          <w:szCs w:val="24"/>
          <w:lang w:eastAsia="ru-RU"/>
        </w:rPr>
        <w:t xml:space="preserve">. </w:t>
      </w:r>
      <w:r w:rsidR="00765BB4" w:rsidRPr="0062536C">
        <w:rPr>
          <w:rFonts w:eastAsia="Times New Roman"/>
          <w:kern w:val="36"/>
          <w:szCs w:val="24"/>
          <w:lang w:eastAsia="ru-RU"/>
        </w:rPr>
        <w:t xml:space="preserve">Испытательное оборудование позволяет воспроизводить внешние условия, необходимые для проверки на качество любой продукции. 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Испытательное оборудование можно условно разделить на следующие виды</w:t>
      </w:r>
      <w:r w:rsidRPr="0080666C">
        <w:rPr>
          <w:rFonts w:eastAsia="Times New Roman"/>
          <w:szCs w:val="24"/>
          <w:lang w:eastAsia="ru-RU"/>
        </w:rPr>
        <w:t>[2]: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стенды для проведения испытаний — вибрационные, ударные и т.п.);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механизмы, проверяющие изделия на растяжение, скручивание или сжатие;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установки климатического воздействия — холодом, высокими температурами и влажностью, солнечной радиацией;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аппараты по проверке герметичности;</w:t>
      </w:r>
    </w:p>
    <w:p w:rsid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установки проверки прочностных характеристик металла, например, твердости стали.</w:t>
      </w:r>
    </w:p>
    <w:p w:rsidR="0080666C" w:rsidRPr="0080666C" w:rsidRDefault="0080666C" w:rsidP="00175D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Существуют и устройства, позволяющие проводить испытания с сочетанием различных факторов, а испытательное оборудование можно разделить по двум категориям: </w:t>
      </w:r>
      <w:r w:rsidRPr="0080666C">
        <w:rPr>
          <w:rFonts w:eastAsia="Times New Roman"/>
          <w:szCs w:val="24"/>
          <w:lang w:eastAsia="ru-RU"/>
        </w:rPr>
        <w:t>в зависимости от вида испытания или по воспроизведению воздействия.</w:t>
      </w:r>
    </w:p>
    <w:p w:rsidR="00175DDD" w:rsidRDefault="00175DDD" w:rsidP="00175D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0666C" w:rsidRPr="0080666C" w:rsidRDefault="0080666C" w:rsidP="00175D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Возд</w:t>
      </w:r>
      <w:r>
        <w:rPr>
          <w:rFonts w:eastAsia="Times New Roman"/>
          <w:szCs w:val="24"/>
          <w:lang w:eastAsia="ru-RU"/>
        </w:rPr>
        <w:t>ействующие факторы</w:t>
      </w:r>
      <w:r w:rsidRPr="0080666C">
        <w:rPr>
          <w:rFonts w:eastAsia="Times New Roman"/>
          <w:szCs w:val="24"/>
          <w:lang w:eastAsia="ru-RU"/>
        </w:rPr>
        <w:t>: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Механического действия.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Климатические или природные.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Биологического типа.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Радиационное воздействие.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Электромагнитных импульсов или полей.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Специальных сред, например, химически активных.</w:t>
      </w:r>
    </w:p>
    <w:p w:rsidR="009914C5" w:rsidRDefault="0080666C" w:rsidP="004C52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Термиче</w:t>
      </w:r>
      <w:r w:rsidR="002D7F75">
        <w:rPr>
          <w:rFonts w:eastAsia="Times New Roman"/>
          <w:szCs w:val="24"/>
          <w:lang w:eastAsia="ru-RU"/>
        </w:rPr>
        <w:t>ского плана.</w:t>
      </w:r>
    </w:p>
    <w:p w:rsidR="00175DDD" w:rsidRDefault="00175DDD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Вибростенд – вид испытательного оборудования, предназначенный для воспроизведения синусоидальной вибрации по одной или нескольким осям одновременно.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 xml:space="preserve">Вибростенды являются особо распространенным типом испытательного оборудования в связи с необходимостью проверки практически любой продукции на выявление механических </w:t>
      </w:r>
      <w:proofErr w:type="spellStart"/>
      <w:r w:rsidRPr="0062536C">
        <w:rPr>
          <w:rFonts w:eastAsia="Times New Roman"/>
          <w:szCs w:val="24"/>
          <w:lang w:eastAsia="ru-RU"/>
        </w:rPr>
        <w:t>деффектов</w:t>
      </w:r>
      <w:proofErr w:type="spellEnd"/>
      <w:r w:rsidRPr="0062536C">
        <w:rPr>
          <w:rFonts w:eastAsia="Times New Roman"/>
          <w:szCs w:val="24"/>
          <w:lang w:eastAsia="ru-RU"/>
        </w:rPr>
        <w:t xml:space="preserve"> или ухудшения заданных характеристик. Помимо этого, в некоторых случаях существует необходимость исследования динамических характеристик или конструктивной прочности [4].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Рассмотрим принцип работы на примере электромеханических вибростендов, которые являются простейшим представителем данной категории испытательного оборудования.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 xml:space="preserve"> В большинстве случаев они исполняются с двумя типами возбудителей вибрации (рис. 1)</w:t>
      </w:r>
      <w:proofErr w:type="gramStart"/>
      <w:r w:rsidRPr="0062536C">
        <w:rPr>
          <w:rFonts w:eastAsia="Times New Roman"/>
          <w:szCs w:val="24"/>
          <w:lang w:eastAsia="ru-RU"/>
        </w:rPr>
        <w:t xml:space="preserve"> :</w:t>
      </w:r>
      <w:proofErr w:type="gramEnd"/>
      <w:r w:rsidRPr="0062536C">
        <w:rPr>
          <w:rFonts w:eastAsia="Times New Roman"/>
          <w:szCs w:val="24"/>
          <w:lang w:eastAsia="ru-RU"/>
        </w:rPr>
        <w:t xml:space="preserve"> эксцентриковый (а) и кулачковый (б). Для того</w:t>
      </w:r>
      <w:proofErr w:type="gramStart"/>
      <w:r w:rsidRPr="0062536C">
        <w:rPr>
          <w:rFonts w:eastAsia="Times New Roman"/>
          <w:szCs w:val="24"/>
          <w:lang w:eastAsia="ru-RU"/>
        </w:rPr>
        <w:t>,</w:t>
      </w:r>
      <w:proofErr w:type="gramEnd"/>
      <w:r w:rsidRPr="0062536C">
        <w:rPr>
          <w:rFonts w:eastAsia="Times New Roman"/>
          <w:szCs w:val="24"/>
          <w:lang w:eastAsia="ru-RU"/>
        </w:rPr>
        <w:t xml:space="preserve"> чтоб сменить режим работы вибростенда изменяются два параметра: эксцентриситет r и частота вибрации (</w:t>
      </w:r>
      <w:r>
        <w:rPr>
          <w:rFonts w:eastAsia="Times New Roman"/>
          <w:szCs w:val="24"/>
          <w:lang w:eastAsia="ru-RU"/>
        </w:rPr>
        <w:t>частота вращения двигателя) n [6</w:t>
      </w:r>
      <w:r w:rsidRPr="0062536C">
        <w:rPr>
          <w:rFonts w:eastAsia="Times New Roman"/>
          <w:szCs w:val="24"/>
          <w:lang w:eastAsia="ru-RU"/>
        </w:rPr>
        <w:t>].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Для обеспечения режимов работы вибростенда необходимо иметь достаточно большой набор механических частей и электрических компонентов, поддерживающих вибрацию с заданной точностью. Поскольку все эти элементы должны обладать высокой точностью при изготовлении или являются технически сложными устройствами, они имеют высокую цену.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noProof/>
          <w:szCs w:val="24"/>
          <w:lang w:eastAsia="ru-RU"/>
        </w:rPr>
        <w:lastRenderedPageBreak/>
        <w:drawing>
          <wp:inline distT="0" distB="0" distL="0" distR="0" wp14:anchorId="48060468">
            <wp:extent cx="3218815" cy="30238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 xml:space="preserve">Рисунок 1 -  Возбудители </w:t>
      </w:r>
      <w:proofErr w:type="spellStart"/>
      <w:r w:rsidRPr="0062536C">
        <w:rPr>
          <w:rFonts w:eastAsia="Times New Roman"/>
          <w:szCs w:val="24"/>
          <w:lang w:eastAsia="ru-RU"/>
        </w:rPr>
        <w:t>виброколебаний</w:t>
      </w:r>
      <w:proofErr w:type="spellEnd"/>
      <w:r w:rsidRPr="0062536C">
        <w:rPr>
          <w:rFonts w:eastAsia="Times New Roman"/>
          <w:szCs w:val="24"/>
          <w:lang w:eastAsia="ru-RU"/>
        </w:rPr>
        <w:t>: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а – эксцентриковый; б – кулачковый</w:t>
      </w:r>
    </w:p>
    <w:p w:rsidR="00ED7632" w:rsidRDefault="00ED7632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C527F" w:rsidRDefault="002D7F75" w:rsidP="004C52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Особенность перевозки вибростендов – отправление является ценным грузом, поскольку оснащается электронными элементами и сложными механизмами</w:t>
      </w:r>
      <w:r w:rsidR="004C527F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Кроме того, вибростенды обладают </w:t>
      </w:r>
      <w:r w:rsidR="004C527F">
        <w:rPr>
          <w:rFonts w:eastAsia="Times New Roman"/>
          <w:szCs w:val="24"/>
          <w:lang w:eastAsia="ru-RU"/>
        </w:rPr>
        <w:t>не только большими габаритами и</w:t>
      </w:r>
      <w:r>
        <w:rPr>
          <w:rFonts w:eastAsia="Times New Roman"/>
          <w:szCs w:val="24"/>
          <w:lang w:eastAsia="ru-RU"/>
        </w:rPr>
        <w:t xml:space="preserve"> внушительным</w:t>
      </w:r>
      <w:r w:rsidRPr="002D7F75">
        <w:rPr>
          <w:rFonts w:eastAsia="Times New Roman"/>
          <w:szCs w:val="24"/>
          <w:lang w:eastAsia="ru-RU"/>
        </w:rPr>
        <w:t xml:space="preserve"> вес</w:t>
      </w:r>
      <w:r>
        <w:rPr>
          <w:rFonts w:eastAsia="Times New Roman"/>
          <w:szCs w:val="24"/>
          <w:lang w:eastAsia="ru-RU"/>
        </w:rPr>
        <w:t>ом</w:t>
      </w:r>
      <w:r w:rsidR="004C527F">
        <w:rPr>
          <w:rFonts w:eastAsia="Times New Roman"/>
          <w:szCs w:val="24"/>
          <w:lang w:eastAsia="ru-RU"/>
        </w:rPr>
        <w:t>, но и зачастую нестандартными размерами</w:t>
      </w:r>
      <w:r w:rsidRPr="002D7F75">
        <w:rPr>
          <w:rFonts w:eastAsia="Times New Roman"/>
          <w:szCs w:val="24"/>
          <w:lang w:eastAsia="ru-RU"/>
        </w:rPr>
        <w:t xml:space="preserve">. </w:t>
      </w:r>
      <w:r w:rsidR="004C527F">
        <w:rPr>
          <w:rFonts w:eastAsia="Times New Roman"/>
          <w:szCs w:val="24"/>
          <w:lang w:eastAsia="ru-RU"/>
        </w:rPr>
        <w:t>Именно поэтому</w:t>
      </w:r>
      <w:r w:rsidRPr="002D7F75">
        <w:rPr>
          <w:rFonts w:eastAsia="Times New Roman"/>
          <w:szCs w:val="24"/>
          <w:lang w:eastAsia="ru-RU"/>
        </w:rPr>
        <w:t xml:space="preserve"> доставка </w:t>
      </w:r>
      <w:r w:rsidR="004C527F">
        <w:rPr>
          <w:rFonts w:eastAsia="Times New Roman"/>
          <w:szCs w:val="24"/>
          <w:lang w:eastAsia="ru-RU"/>
        </w:rPr>
        <w:t>данного испытательного</w:t>
      </w:r>
      <w:r w:rsidRPr="002D7F75">
        <w:rPr>
          <w:rFonts w:eastAsia="Times New Roman"/>
          <w:szCs w:val="24"/>
          <w:lang w:eastAsia="ru-RU"/>
        </w:rPr>
        <w:t xml:space="preserve"> оборудовани</w:t>
      </w:r>
      <w:r w:rsidR="004C527F">
        <w:rPr>
          <w:rFonts w:eastAsia="Times New Roman"/>
          <w:szCs w:val="24"/>
          <w:lang w:eastAsia="ru-RU"/>
        </w:rPr>
        <w:t>я требует тщательной подготовки и</w:t>
      </w:r>
      <w:r w:rsidRPr="002D7F75">
        <w:rPr>
          <w:rFonts w:eastAsia="Times New Roman"/>
          <w:szCs w:val="24"/>
          <w:lang w:eastAsia="ru-RU"/>
        </w:rPr>
        <w:t xml:space="preserve"> правильной погрузки.</w:t>
      </w:r>
      <w:r w:rsidR="004C527F">
        <w:rPr>
          <w:rFonts w:eastAsia="Times New Roman"/>
          <w:szCs w:val="24"/>
          <w:lang w:eastAsia="ru-RU"/>
        </w:rPr>
        <w:t xml:space="preserve"> Вибростенды имеют особенности упаковки и маркировки, также необходимо продумать методы крепления при перевозке, чтобы избежать повреждения. Важную роль играет и выбор оптимального маршрута. </w:t>
      </w:r>
    </w:p>
    <w:p w:rsidR="009914C5" w:rsidRPr="00E138EE" w:rsidRDefault="00E138EE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E138EE">
        <w:rPr>
          <w:rFonts w:eastAsia="Times New Roman"/>
          <w:b/>
          <w:szCs w:val="24"/>
          <w:lang w:eastAsia="ru-RU"/>
        </w:rPr>
        <w:t>Требования к маркировке и упаковке[</w:t>
      </w:r>
      <w:r>
        <w:rPr>
          <w:rFonts w:eastAsia="Times New Roman"/>
          <w:b/>
          <w:szCs w:val="24"/>
          <w:lang w:eastAsia="ru-RU"/>
        </w:rPr>
        <w:t>3</w:t>
      </w:r>
      <w:r w:rsidRPr="00E138EE">
        <w:rPr>
          <w:rFonts w:eastAsia="Times New Roman"/>
          <w:b/>
          <w:szCs w:val="24"/>
          <w:lang w:eastAsia="ru-RU"/>
        </w:rPr>
        <w:t>]:</w:t>
      </w:r>
    </w:p>
    <w:p w:rsidR="009914C5" w:rsidRPr="009914C5" w:rsidRDefault="009914C5" w:rsidP="00E138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138EE">
        <w:rPr>
          <w:rFonts w:eastAsia="Times New Roman"/>
          <w:szCs w:val="24"/>
          <w:lang w:eastAsia="ru-RU"/>
        </w:rPr>
        <w:t xml:space="preserve">На корпусах или лицевых панелях аппаратуры задания и управления, усилителя мощности, вибростенда, средств контроля и измерения и вспомогательных устройств установки должна быть нанесена маркировка по ГОСТ 18620. </w:t>
      </w:r>
      <w:r w:rsidR="00E138EE" w:rsidRPr="00E138EE">
        <w:rPr>
          <w:rFonts w:eastAsia="Times New Roman"/>
          <w:szCs w:val="24"/>
          <w:lang w:eastAsia="ru-RU"/>
        </w:rPr>
        <w:t xml:space="preserve">Маркировка вибростенда должна соответствовать чертежам предприятия </w:t>
      </w:r>
      <w:r w:rsidR="00E138EE">
        <w:rPr>
          <w:rFonts w:eastAsia="Times New Roman"/>
          <w:szCs w:val="24"/>
          <w:lang w:eastAsia="ru-RU"/>
        </w:rPr>
        <w:t>изготовителя и содержать следующие данные: условное обозначение, тип вибростенда, порядковый номер. На транспортную тару так же наносится маркировка согласно</w:t>
      </w:r>
      <w:r w:rsidRPr="009914C5">
        <w:rPr>
          <w:rFonts w:eastAsia="Times New Roman"/>
          <w:szCs w:val="24"/>
          <w:lang w:eastAsia="ru-RU"/>
        </w:rPr>
        <w:t xml:space="preserve"> </w:t>
      </w:r>
      <w:r w:rsidRPr="00E138EE">
        <w:rPr>
          <w:rFonts w:eastAsia="Times New Roman"/>
          <w:szCs w:val="24"/>
          <w:lang w:eastAsia="ru-RU"/>
        </w:rPr>
        <w:t>ГОСТ 14192</w:t>
      </w:r>
      <w:r w:rsidRPr="009914C5">
        <w:rPr>
          <w:rFonts w:eastAsia="Times New Roman"/>
          <w:szCs w:val="24"/>
          <w:lang w:eastAsia="ru-RU"/>
        </w:rPr>
        <w:t>.</w:t>
      </w:r>
    </w:p>
    <w:p w:rsidR="009914C5" w:rsidRDefault="00E138EE" w:rsidP="00E138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Установки и их составные части упаковываются в дощатые ящики </w:t>
      </w:r>
      <w:r w:rsidRPr="00E138EE">
        <w:rPr>
          <w:rFonts w:eastAsia="Times New Roman"/>
          <w:szCs w:val="24"/>
          <w:lang w:eastAsia="ru-RU"/>
        </w:rPr>
        <w:t>типа III по ГОСТ 2991</w:t>
      </w:r>
      <w:r w:rsidR="009914C5" w:rsidRPr="009914C5">
        <w:rPr>
          <w:rFonts w:eastAsia="Times New Roman"/>
          <w:szCs w:val="24"/>
          <w:lang w:eastAsia="ru-RU"/>
        </w:rPr>
        <w:t>, дощатые ящики типов I, III, VIII по ГОСТ 10198</w:t>
      </w:r>
      <w:r w:rsidR="0062536C">
        <w:rPr>
          <w:rFonts w:eastAsia="Times New Roman"/>
          <w:szCs w:val="24"/>
          <w:lang w:eastAsia="ru-RU"/>
        </w:rPr>
        <w:t>(рисунок 2</w:t>
      </w:r>
      <w:r w:rsidR="006E610E">
        <w:rPr>
          <w:rFonts w:eastAsia="Times New Roman"/>
          <w:szCs w:val="24"/>
          <w:lang w:eastAsia="ru-RU"/>
        </w:rPr>
        <w:t>)</w:t>
      </w:r>
      <w:r w:rsidR="009914C5" w:rsidRPr="009914C5">
        <w:rPr>
          <w:rFonts w:eastAsia="Times New Roman"/>
          <w:szCs w:val="24"/>
          <w:lang w:eastAsia="ru-RU"/>
        </w:rPr>
        <w:t>.</w:t>
      </w:r>
    </w:p>
    <w:p w:rsidR="006E610E" w:rsidRDefault="006E610E" w:rsidP="00E138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6E610E" w:rsidRDefault="006E610E" w:rsidP="00E138EE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B22B00" wp14:editId="032867E9">
            <wp:extent cx="14287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B27923" wp14:editId="40DDFFC4">
            <wp:extent cx="1285988" cy="11057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323" cy="11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1791F2" wp14:editId="50CEEBF1">
            <wp:extent cx="1392865" cy="11154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9739" cy="112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1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0EDF78" wp14:editId="6967D839">
            <wp:extent cx="1290312" cy="10526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1893" cy="105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0E" w:rsidRDefault="0062536C" w:rsidP="006E610E">
      <w:pPr>
        <w:shd w:val="clear" w:color="auto" w:fill="FFFFFF"/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t>Рисунок 2</w:t>
      </w:r>
      <w:r w:rsidR="006E610E">
        <w:rPr>
          <w:noProof/>
          <w:lang w:eastAsia="ru-RU"/>
        </w:rPr>
        <w:t xml:space="preserve"> – Упаковка вибростендов</w:t>
      </w:r>
    </w:p>
    <w:p w:rsidR="006E610E" w:rsidRDefault="006E610E" w:rsidP="006E610E">
      <w:pPr>
        <w:shd w:val="clear" w:color="auto" w:fill="FFFFFF"/>
        <w:spacing w:after="0" w:line="240" w:lineRule="auto"/>
        <w:ind w:firstLine="709"/>
        <w:jc w:val="center"/>
        <w:rPr>
          <w:noProof/>
          <w:lang w:eastAsia="ru-RU"/>
        </w:rPr>
      </w:pPr>
    </w:p>
    <w:p w:rsidR="006E610E" w:rsidRPr="009914C5" w:rsidRDefault="006E610E" w:rsidP="006E610E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</w:p>
    <w:p w:rsidR="009914C5" w:rsidRPr="009914C5" w:rsidRDefault="006E610E" w:rsidP="006E610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="009914C5" w:rsidRPr="009914C5">
        <w:rPr>
          <w:rFonts w:eastAsia="Times New Roman"/>
          <w:szCs w:val="24"/>
          <w:lang w:eastAsia="ru-RU"/>
        </w:rPr>
        <w:t xml:space="preserve">оставные части </w:t>
      </w:r>
      <w:r>
        <w:rPr>
          <w:rFonts w:eastAsia="Times New Roman"/>
          <w:szCs w:val="24"/>
          <w:lang w:eastAsia="ru-RU"/>
        </w:rPr>
        <w:t>вибростендов</w:t>
      </w:r>
      <w:r w:rsidR="009914C5" w:rsidRPr="009914C5">
        <w:rPr>
          <w:rFonts w:eastAsia="Times New Roman"/>
          <w:szCs w:val="24"/>
          <w:lang w:eastAsia="ru-RU"/>
        </w:rPr>
        <w:t xml:space="preserve"> должны быть подвергнуты консервации. Консервации подлежат все металлические неокрашенные наружные поверхности с металлическими покрытиями.</w:t>
      </w:r>
      <w:r>
        <w:rPr>
          <w:rFonts w:eastAsia="Times New Roman"/>
          <w:szCs w:val="24"/>
          <w:lang w:eastAsia="ru-RU"/>
        </w:rPr>
        <w:t xml:space="preserve"> </w:t>
      </w:r>
      <w:r w:rsidR="009914C5" w:rsidRPr="009914C5">
        <w:rPr>
          <w:rFonts w:eastAsia="Times New Roman"/>
          <w:szCs w:val="24"/>
          <w:lang w:eastAsia="ru-RU"/>
        </w:rPr>
        <w:t xml:space="preserve">Составные части установки, ЗИП и эксплуатационная документация </w:t>
      </w:r>
      <w:r>
        <w:rPr>
          <w:rFonts w:eastAsia="Times New Roman"/>
          <w:szCs w:val="24"/>
          <w:lang w:eastAsia="ru-RU"/>
        </w:rPr>
        <w:t>упаковываются</w:t>
      </w:r>
      <w:r w:rsidR="009914C5" w:rsidRPr="009914C5">
        <w:rPr>
          <w:rFonts w:eastAsia="Times New Roman"/>
          <w:szCs w:val="24"/>
          <w:lang w:eastAsia="ru-RU"/>
        </w:rPr>
        <w:t xml:space="preserve"> во влагостойкую о</w:t>
      </w:r>
      <w:r>
        <w:rPr>
          <w:rFonts w:eastAsia="Times New Roman"/>
          <w:szCs w:val="24"/>
          <w:lang w:eastAsia="ru-RU"/>
        </w:rPr>
        <w:t>бертку</w:t>
      </w:r>
      <w:r w:rsidR="009914C5" w:rsidRPr="009914C5">
        <w:rPr>
          <w:rFonts w:eastAsia="Times New Roman"/>
          <w:szCs w:val="24"/>
          <w:lang w:eastAsia="ru-RU"/>
        </w:rPr>
        <w:t xml:space="preserve"> или помещены </w:t>
      </w:r>
      <w:r>
        <w:rPr>
          <w:rFonts w:eastAsia="Times New Roman"/>
          <w:szCs w:val="24"/>
          <w:lang w:eastAsia="ru-RU"/>
        </w:rPr>
        <w:t xml:space="preserve">в чехлы из </w:t>
      </w:r>
      <w:r>
        <w:rPr>
          <w:rFonts w:eastAsia="Times New Roman"/>
          <w:szCs w:val="24"/>
          <w:lang w:eastAsia="ru-RU"/>
        </w:rPr>
        <w:lastRenderedPageBreak/>
        <w:t>полиэтиленовой пленки</w:t>
      </w:r>
      <w:r w:rsidR="009914C5" w:rsidRPr="009914C5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Сопроводительная документация укладывается</w:t>
      </w:r>
      <w:r w:rsidR="009914C5" w:rsidRPr="009914C5">
        <w:rPr>
          <w:rFonts w:eastAsia="Times New Roman"/>
          <w:szCs w:val="24"/>
          <w:lang w:eastAsia="ru-RU"/>
        </w:rPr>
        <w:t xml:space="preserve"> в закрытый металлический карман, укрепляемый на наружной стороне торцевой или боковой стенки ящика.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В ящик должен быть вложен упаковочный лист, удостоверяющий правильность упаковывания, содержащий: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наименование или товарный знак предприятия-изготовителя;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наименование и обозначение установки (составных частей);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фамилию упаковщика;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штамп ОТК;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дату упаковывания.</w:t>
      </w:r>
    </w:p>
    <w:p w:rsidR="00105BAF" w:rsidRDefault="00690F53" w:rsidP="00105BA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Вибростенды можно перевозить любым транспортом, исключая перевозку морем</w:t>
      </w:r>
      <w:r w:rsidR="009914C5" w:rsidRPr="009914C5">
        <w:rPr>
          <w:rFonts w:eastAsia="Times New Roman"/>
          <w:szCs w:val="24"/>
          <w:lang w:eastAsia="ru-RU"/>
        </w:rPr>
        <w:t>. При транспортировании самолетом установки должны быть размеще</w:t>
      </w:r>
      <w:r>
        <w:rPr>
          <w:rFonts w:eastAsia="Times New Roman"/>
          <w:szCs w:val="24"/>
          <w:lang w:eastAsia="ru-RU"/>
        </w:rPr>
        <w:t>ны в герметизированных отсеках.</w:t>
      </w:r>
    </w:p>
    <w:p w:rsidR="00105BAF" w:rsidRPr="00105BAF" w:rsidRDefault="00105BAF" w:rsidP="00105BA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t>Условия транспортирования и хранения:</w:t>
      </w:r>
    </w:p>
    <w:p w:rsidR="00105BAF" w:rsidRDefault="00105BAF" w:rsidP="00105BAF">
      <w:pPr>
        <w:spacing w:after="0" w:line="240" w:lineRule="auto"/>
        <w:ind w:firstLine="709"/>
        <w:jc w:val="both"/>
      </w:pPr>
      <w:r>
        <w:t>- Вибростенд транспортируется и хранится в упаковочном ящике;</w:t>
      </w:r>
    </w:p>
    <w:p w:rsidR="00105BAF" w:rsidRDefault="00105BAF" w:rsidP="00105BAF">
      <w:pPr>
        <w:spacing w:after="0" w:line="240" w:lineRule="auto"/>
        <w:ind w:firstLine="709"/>
        <w:jc w:val="both"/>
      </w:pPr>
      <w:r>
        <w:t>- температура окружающего воздуха, °</w:t>
      </w:r>
      <w:proofErr w:type="gramStart"/>
      <w:r>
        <w:t>С</w:t>
      </w:r>
      <w:proofErr w:type="gramEnd"/>
      <w:r>
        <w:t xml:space="preserve"> от -50 до +50</w:t>
      </w:r>
    </w:p>
    <w:p w:rsidR="00105BAF" w:rsidRDefault="00105BAF" w:rsidP="00105BAF">
      <w:pPr>
        <w:spacing w:after="0" w:line="240" w:lineRule="auto"/>
        <w:ind w:firstLine="709"/>
        <w:jc w:val="both"/>
      </w:pPr>
      <w:r>
        <w:t>- относительная влажность воздуха при температуре 35</w:t>
      </w:r>
      <w:proofErr w:type="gramStart"/>
      <w:r>
        <w:t xml:space="preserve"> °С</w:t>
      </w:r>
      <w:proofErr w:type="gramEnd"/>
      <w:r>
        <w:t xml:space="preserve"> не более 95%;</w:t>
      </w:r>
    </w:p>
    <w:p w:rsidR="00690F53" w:rsidRPr="0062536C" w:rsidRDefault="00105BAF" w:rsidP="0062536C">
      <w:pPr>
        <w:spacing w:after="0" w:line="240" w:lineRule="auto"/>
        <w:ind w:firstLine="709"/>
        <w:jc w:val="both"/>
      </w:pPr>
      <w:r>
        <w:t>- атмосферное давление</w:t>
      </w:r>
      <w:r w:rsidRPr="00105BAF">
        <w:t xml:space="preserve"> </w:t>
      </w:r>
      <w:r>
        <w:t>от 76 до 106,7 кПа.</w:t>
      </w:r>
    </w:p>
    <w:p w:rsidR="0062536C" w:rsidRDefault="0062536C" w:rsidP="001F2A02">
      <w:pPr>
        <w:ind w:firstLine="709"/>
        <w:jc w:val="both"/>
      </w:pPr>
    </w:p>
    <w:p w:rsidR="0062536C" w:rsidRDefault="001F2A02" w:rsidP="001F2A02">
      <w:pPr>
        <w:ind w:firstLine="709"/>
        <w:jc w:val="both"/>
      </w:pPr>
      <w:r>
        <w:t>В</w:t>
      </w:r>
      <w:r w:rsidR="00105BAF">
        <w:t xml:space="preserve">ибростенды </w:t>
      </w:r>
      <w:r>
        <w:t>являются индивидуальной продукцией, поскольку изготавливаются под определенный заказ от предприятия. Это означает, что перевозка нескольких вибростенд</w:t>
      </w:r>
      <w:r w:rsidR="0062536C">
        <w:t xml:space="preserve">ов практически не производится, таким образом, </w:t>
      </w:r>
      <w:r>
        <w:t xml:space="preserve"> оптимальным способом для перевозки вибростендов является автомобильный транспорт. </w:t>
      </w:r>
      <w:r w:rsidR="0062536C">
        <w:t>Произведем расчеты для перевозки вибростенда со следующими характеристиками:</w:t>
      </w:r>
    </w:p>
    <w:p w:rsidR="0062536C" w:rsidRPr="0062536C" w:rsidRDefault="0062536C" w:rsidP="001F2A02">
      <w:pPr>
        <w:ind w:firstLine="709"/>
        <w:jc w:val="both"/>
      </w:pPr>
      <w:r>
        <w:rPr>
          <w:b/>
        </w:rPr>
        <w:t xml:space="preserve">- </w:t>
      </w:r>
      <w:r w:rsidRPr="0062536C">
        <w:t>Габариты стенда 1250×680×920</w:t>
      </w:r>
      <w:r>
        <w:t xml:space="preserve"> м</w:t>
      </w:r>
      <w:r w:rsidRPr="0062536C">
        <w:t>м;</w:t>
      </w:r>
    </w:p>
    <w:p w:rsidR="0062536C" w:rsidRPr="0062536C" w:rsidRDefault="0062536C" w:rsidP="001F2A02">
      <w:pPr>
        <w:ind w:firstLine="709"/>
        <w:jc w:val="both"/>
      </w:pPr>
      <w:r w:rsidRPr="0062536C">
        <w:t>- Масса 250 кг</w:t>
      </w:r>
      <w:r>
        <w:t>.</w:t>
      </w:r>
    </w:p>
    <w:p w:rsidR="00F9290E" w:rsidRDefault="001F2A02" w:rsidP="001F2A02">
      <w:pPr>
        <w:ind w:firstLine="709"/>
        <w:jc w:val="both"/>
      </w:pPr>
      <w:r>
        <w:t>Маршрут автомобильной пе</w:t>
      </w:r>
      <w:r w:rsidR="0062536C">
        <w:t xml:space="preserve">ревозки </w:t>
      </w:r>
      <w:proofErr w:type="gramStart"/>
      <w:r w:rsidR="0062536C">
        <w:t>от производителя в Санкт-Петербурге до заказчика в Ярославле представлен на рисунке</w:t>
      </w:r>
      <w:proofErr w:type="gramEnd"/>
      <w:r w:rsidR="0062536C">
        <w:t xml:space="preserve"> 3</w:t>
      </w:r>
      <w:r>
        <w:t>:</w:t>
      </w:r>
    </w:p>
    <w:p w:rsidR="001F2A02" w:rsidRDefault="0062536C" w:rsidP="001F2A02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13CC5EE7" wp14:editId="10988A95">
            <wp:extent cx="3067050" cy="19901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02" w:rsidRPr="001F2A02" w:rsidRDefault="0062536C" w:rsidP="001F2A02">
      <w:pPr>
        <w:ind w:firstLine="709"/>
        <w:jc w:val="center"/>
      </w:pPr>
      <w:r>
        <w:t>Рисунок 3</w:t>
      </w:r>
      <w:r w:rsidR="001F2A02">
        <w:t xml:space="preserve"> – Маршрут перевозки вибростенда из Санкт-Петербурга в Казань</w:t>
      </w:r>
    </w:p>
    <w:p w:rsidR="00105BAF" w:rsidRDefault="00105BAF"/>
    <w:p w:rsidR="0062536C" w:rsidRPr="0062536C" w:rsidRDefault="0062536C" w:rsidP="0062536C">
      <w:pPr>
        <w:ind w:firstLine="709"/>
        <w:jc w:val="both"/>
      </w:pPr>
      <w:r>
        <w:t xml:space="preserve">Для перевозки выбран автомобиль </w:t>
      </w:r>
      <w:r w:rsidRPr="0062536C">
        <w:t>ГАЗ 3302[5]</w:t>
      </w:r>
      <w:r>
        <w:t xml:space="preserve"> </w:t>
      </w:r>
      <w:r w:rsidRPr="0062536C">
        <w:t>грузоподъемностью 1.5 т</w:t>
      </w:r>
      <w:r>
        <w:t>, технические характеристики модели представлены на рисунке 4.</w:t>
      </w:r>
    </w:p>
    <w:p w:rsidR="0062536C" w:rsidRDefault="0062536C"/>
    <w:p w:rsidR="0062536C" w:rsidRDefault="0062536C" w:rsidP="0062536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9A2D46E" wp14:editId="3C549EEF">
            <wp:extent cx="3123515" cy="4057650"/>
            <wp:effectExtent l="0" t="0" r="0" b="0"/>
            <wp:docPr id="7" name="Рисунок 2" descr="https://kuban-profil.ru/wp-content/uploads/harakteristiki-gaz-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ban-profil.ru/wp-content/uploads/harakteristiki-gaz-33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1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6C" w:rsidRPr="00105BAF" w:rsidRDefault="0062536C" w:rsidP="0062536C">
      <w:pPr>
        <w:jc w:val="center"/>
      </w:pPr>
      <w:r>
        <w:t>Рисунок 4 – ГАЗ 3302 технические характеристики</w:t>
      </w:r>
    </w:p>
    <w:p w:rsidR="0062536C" w:rsidRDefault="0062536C"/>
    <w:p w:rsidR="0062536C" w:rsidRDefault="0062536C">
      <w:r>
        <w:t>После этого был произведен приблизительный расчет стоимости перевозки (рисунок 5):</w:t>
      </w:r>
    </w:p>
    <w:p w:rsidR="0062536C" w:rsidRDefault="0062536C"/>
    <w:p w:rsidR="0062536C" w:rsidRPr="0062536C" w:rsidRDefault="0062536C" w:rsidP="0062536C">
      <w:pPr>
        <w:jc w:val="center"/>
      </w:pPr>
      <w:r>
        <w:rPr>
          <w:noProof/>
          <w:lang w:eastAsia="ru-RU"/>
        </w:rPr>
        <w:drawing>
          <wp:inline distT="0" distB="0" distL="0" distR="0" wp14:anchorId="066E218A" wp14:editId="4A0961C1">
            <wp:extent cx="2400300" cy="2647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6C" w:rsidRPr="0062536C" w:rsidRDefault="0062536C" w:rsidP="0062536C">
      <w:pPr>
        <w:jc w:val="center"/>
      </w:pPr>
      <w:r w:rsidRPr="0062536C">
        <w:t>Рисунок 5 – Расчет стоимости перевозки груза</w:t>
      </w:r>
    </w:p>
    <w:p w:rsidR="0062536C" w:rsidRDefault="0062536C">
      <w:pPr>
        <w:rPr>
          <w:b/>
        </w:rPr>
      </w:pPr>
    </w:p>
    <w:p w:rsidR="0062536C" w:rsidRPr="0062536C" w:rsidRDefault="0062536C" w:rsidP="0062536C">
      <w:pPr>
        <w:ind w:firstLine="709"/>
        <w:jc w:val="both"/>
      </w:pPr>
      <w:r w:rsidRPr="0062536C">
        <w:t>Таким образом, в данной статье были рассмотрены основные виды испытательного оборудования, а в частности вибростенды: их особенности и технические характеристики. Был рассчитан маршрут перевозки сложного технического оборудования из Санкт-</w:t>
      </w:r>
      <w:r w:rsidRPr="0062536C">
        <w:lastRenderedPageBreak/>
        <w:t>Петербурга в Ярославль: выбран подвижной состав и рассчитана приблизительная  стоимость перевозки.</w:t>
      </w:r>
    </w:p>
    <w:p w:rsidR="00F9290E" w:rsidRPr="00105BAF" w:rsidRDefault="00F9290E" w:rsidP="0062536C">
      <w:pPr>
        <w:ind w:firstLine="709"/>
        <w:jc w:val="both"/>
        <w:rPr>
          <w:b/>
        </w:rPr>
      </w:pPr>
      <w:r w:rsidRPr="00105BAF">
        <w:rPr>
          <w:b/>
        </w:rPr>
        <w:t>Список литературы:</w:t>
      </w:r>
    </w:p>
    <w:p w:rsidR="0080666C" w:rsidRPr="00175DDD" w:rsidRDefault="0080666C" w:rsidP="0062536C">
      <w:pPr>
        <w:ind w:firstLine="709"/>
        <w:jc w:val="both"/>
      </w:pPr>
      <w:r w:rsidRPr="00175DDD">
        <w:t xml:space="preserve">1. </w:t>
      </w:r>
      <w:r w:rsidR="00175DDD">
        <w:t xml:space="preserve">Испытательное оборудование </w:t>
      </w:r>
      <w:r w:rsidR="00175DDD" w:rsidRPr="00175DDD">
        <w:t>[</w:t>
      </w:r>
      <w:r w:rsidR="00175DDD">
        <w:t>Электронный ресурс</w:t>
      </w:r>
      <w:r w:rsidR="00175DDD" w:rsidRPr="00175DDD">
        <w:t>]</w:t>
      </w:r>
      <w:r w:rsidR="00175DDD">
        <w:t xml:space="preserve"> </w:t>
      </w:r>
      <w:proofErr w:type="spellStart"/>
      <w:r w:rsidR="00175DDD">
        <w:rPr>
          <w:lang w:val="en-US"/>
        </w:rPr>
        <w:t>Url</w:t>
      </w:r>
      <w:proofErr w:type="spellEnd"/>
      <w:r w:rsidR="00175DDD" w:rsidRPr="00175DDD">
        <w:t xml:space="preserve">: </w:t>
      </w:r>
      <w:r w:rsidRPr="00175DDD">
        <w:rPr>
          <w:lang w:val="en-US"/>
        </w:rPr>
        <w:t>https</w:t>
      </w:r>
      <w:r w:rsidRPr="00175DDD">
        <w:t>://</w:t>
      </w:r>
      <w:proofErr w:type="spellStart"/>
      <w:r w:rsidRPr="00175DDD">
        <w:rPr>
          <w:lang w:val="en-US"/>
        </w:rPr>
        <w:t>fsa</w:t>
      </w:r>
      <w:proofErr w:type="spellEnd"/>
      <w:r w:rsidRPr="00175DDD">
        <w:t>.</w:t>
      </w:r>
      <w:proofErr w:type="spellStart"/>
      <w:r w:rsidRPr="00175DDD">
        <w:rPr>
          <w:lang w:val="en-US"/>
        </w:rPr>
        <w:t>gov</w:t>
      </w:r>
      <w:proofErr w:type="spellEnd"/>
      <w:r w:rsidRPr="00175DDD">
        <w:t>.</w:t>
      </w:r>
      <w:proofErr w:type="spellStart"/>
      <w:r w:rsidRPr="00175DDD">
        <w:rPr>
          <w:lang w:val="en-US"/>
        </w:rPr>
        <w:t>ru</w:t>
      </w:r>
      <w:proofErr w:type="spellEnd"/>
      <w:r w:rsidRPr="00175DDD">
        <w:t>/</w:t>
      </w:r>
      <w:r w:rsidRPr="00175DDD">
        <w:rPr>
          <w:lang w:val="en-US"/>
        </w:rPr>
        <w:t>infrastructure</w:t>
      </w:r>
      <w:r w:rsidRPr="00175DDD">
        <w:t>/</w:t>
      </w:r>
      <w:proofErr w:type="spellStart"/>
      <w:r w:rsidRPr="00175DDD">
        <w:rPr>
          <w:lang w:val="en-US"/>
        </w:rPr>
        <w:t>ispytatelnoe</w:t>
      </w:r>
      <w:proofErr w:type="spellEnd"/>
      <w:r w:rsidRPr="00175DDD">
        <w:t>-</w:t>
      </w:r>
      <w:proofErr w:type="spellStart"/>
      <w:r w:rsidRPr="00175DDD">
        <w:rPr>
          <w:lang w:val="en-US"/>
        </w:rPr>
        <w:t>oborudovanie</w:t>
      </w:r>
      <w:proofErr w:type="spellEnd"/>
      <w:r w:rsidRPr="00175DDD">
        <w:t>/</w:t>
      </w:r>
      <w:r w:rsidR="00175DDD" w:rsidRPr="00175DDD">
        <w:t>;</w:t>
      </w:r>
    </w:p>
    <w:p w:rsidR="0080666C" w:rsidRPr="00175DDD" w:rsidRDefault="0080666C" w:rsidP="0062536C">
      <w:pPr>
        <w:ind w:firstLine="709"/>
        <w:jc w:val="both"/>
      </w:pPr>
      <w:r w:rsidRPr="00175DDD">
        <w:t xml:space="preserve">2. </w:t>
      </w:r>
      <w:r w:rsidR="00175DDD" w:rsidRPr="00175DDD">
        <w:t xml:space="preserve">Испытательное оборудование — определение, классификация, производство [Электронный ресурс] Url: </w:t>
      </w:r>
      <w:r w:rsidR="00441F4A" w:rsidRPr="00175DDD">
        <w:rPr>
          <w:lang w:val="en-US"/>
        </w:rPr>
        <w:t>https</w:t>
      </w:r>
      <w:r w:rsidR="00441F4A" w:rsidRPr="00175DDD">
        <w:t>://</w:t>
      </w:r>
      <w:proofErr w:type="spellStart"/>
      <w:r w:rsidR="00441F4A" w:rsidRPr="00175DDD">
        <w:rPr>
          <w:lang w:val="en-US"/>
        </w:rPr>
        <w:t>vacuumdom</w:t>
      </w:r>
      <w:proofErr w:type="spellEnd"/>
      <w:r w:rsidR="00441F4A" w:rsidRPr="00175DDD">
        <w:t>.</w:t>
      </w:r>
      <w:r w:rsidR="00441F4A" w:rsidRPr="00175DDD">
        <w:rPr>
          <w:lang w:val="en-US"/>
        </w:rPr>
        <w:t>com</w:t>
      </w:r>
      <w:r w:rsidR="00441F4A" w:rsidRPr="00175DDD">
        <w:t>/</w:t>
      </w:r>
      <w:r w:rsidR="00441F4A" w:rsidRPr="00175DDD">
        <w:rPr>
          <w:lang w:val="en-US"/>
        </w:rPr>
        <w:t>article</w:t>
      </w:r>
      <w:r w:rsidR="00441F4A" w:rsidRPr="00175DDD">
        <w:t>-</w:t>
      </w:r>
      <w:proofErr w:type="spellStart"/>
      <w:r w:rsidR="00441F4A" w:rsidRPr="00175DDD">
        <w:rPr>
          <w:lang w:val="en-US"/>
        </w:rPr>
        <w:t>ispytatelnoe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oborudovanie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opredelenie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klassifikaciya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proizvodstvo</w:t>
      </w:r>
      <w:proofErr w:type="spellEnd"/>
      <w:r w:rsidR="00441F4A" w:rsidRPr="00175DDD">
        <w:t>/</w:t>
      </w:r>
      <w:r w:rsidR="00175DDD" w:rsidRPr="00175DDD">
        <w:t>;</w:t>
      </w:r>
    </w:p>
    <w:p w:rsidR="00441F4A" w:rsidRPr="00175DDD" w:rsidRDefault="00175DDD" w:rsidP="0062536C">
      <w:pPr>
        <w:ind w:firstLine="709"/>
        <w:jc w:val="both"/>
      </w:pPr>
      <w:r w:rsidRPr="00175DDD">
        <w:t>3. ГОСТ 25051.4-83 Установки испытательные вибрационные электродинамические. Общие технические условия;</w:t>
      </w:r>
    </w:p>
    <w:p w:rsidR="00175DDD" w:rsidRPr="00175DDD" w:rsidRDefault="00441F4A" w:rsidP="0062536C">
      <w:pPr>
        <w:ind w:firstLine="709"/>
        <w:jc w:val="both"/>
      </w:pPr>
      <w:r w:rsidRPr="00175DDD">
        <w:t>4.</w:t>
      </w:r>
      <w:r w:rsidR="00175DDD" w:rsidRPr="00175DDD">
        <w:t xml:space="preserve"> ГОСТ 28203-89 Основные методы испытаний на воздействие внешних факторов;</w:t>
      </w:r>
    </w:p>
    <w:p w:rsidR="00441F4A" w:rsidRDefault="00441F4A" w:rsidP="0062536C">
      <w:pPr>
        <w:ind w:firstLine="709"/>
        <w:jc w:val="both"/>
      </w:pPr>
      <w:r w:rsidRPr="00175DDD">
        <w:t xml:space="preserve">5. </w:t>
      </w:r>
      <w:r w:rsidR="0062536C" w:rsidRPr="0062536C">
        <w:t xml:space="preserve">ГАЗ 3302 [Электронный ресурс] </w:t>
      </w:r>
      <w:proofErr w:type="spellStart"/>
      <w:r w:rsidR="0062536C" w:rsidRPr="0062536C">
        <w:rPr>
          <w:lang w:val="en-US"/>
        </w:rPr>
        <w:t>Url</w:t>
      </w:r>
      <w:proofErr w:type="spellEnd"/>
      <w:r w:rsidR="0062536C" w:rsidRPr="0062536C">
        <w:t>: https://avto-russia.ru/autos/gaz/gaz_3302.html;</w:t>
      </w:r>
    </w:p>
    <w:p w:rsidR="0062536C" w:rsidRDefault="0062536C" w:rsidP="0062536C">
      <w:pPr>
        <w:ind w:firstLine="709"/>
        <w:jc w:val="both"/>
      </w:pPr>
      <w:r>
        <w:t xml:space="preserve">6. Вибрационные испытания [Электронный ресурс] Url: </w:t>
      </w:r>
      <w:r w:rsidRPr="0062536C">
        <w:t xml:space="preserve">https://slide-share.ru/ispitatelnoe-oborudovanie-558348  </w:t>
      </w:r>
      <w:r>
        <w:t>4</w:t>
      </w:r>
    </w:p>
    <w:p w:rsidR="0062536C" w:rsidRPr="0062536C" w:rsidRDefault="0062536C"/>
    <w:sectPr w:rsidR="0062536C" w:rsidRPr="0062536C" w:rsidSect="008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5"/>
    <w:rsid w:val="00000DAE"/>
    <w:rsid w:val="000A24FE"/>
    <w:rsid w:val="000B0EFF"/>
    <w:rsid w:val="000B6A2B"/>
    <w:rsid w:val="00105BAF"/>
    <w:rsid w:val="00175DDD"/>
    <w:rsid w:val="001F2A02"/>
    <w:rsid w:val="0022568F"/>
    <w:rsid w:val="002D7F75"/>
    <w:rsid w:val="00441F4A"/>
    <w:rsid w:val="004C527F"/>
    <w:rsid w:val="00523041"/>
    <w:rsid w:val="0062536C"/>
    <w:rsid w:val="00690F53"/>
    <w:rsid w:val="006E610E"/>
    <w:rsid w:val="007179EF"/>
    <w:rsid w:val="00765BB4"/>
    <w:rsid w:val="0080666C"/>
    <w:rsid w:val="008A510A"/>
    <w:rsid w:val="009657BC"/>
    <w:rsid w:val="009914C5"/>
    <w:rsid w:val="00CA5C1B"/>
    <w:rsid w:val="00DC0E5C"/>
    <w:rsid w:val="00E138EE"/>
    <w:rsid w:val="00E74FA8"/>
    <w:rsid w:val="00ED7632"/>
    <w:rsid w:val="00F813A8"/>
    <w:rsid w:val="00F9290E"/>
    <w:rsid w:val="00FE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A"/>
  </w:style>
  <w:style w:type="paragraph" w:styleId="1">
    <w:name w:val="heading 1"/>
    <w:basedOn w:val="a"/>
    <w:link w:val="10"/>
    <w:uiPriority w:val="9"/>
    <w:qFormat/>
    <w:rsid w:val="009914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C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4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066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75D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A"/>
  </w:style>
  <w:style w:type="paragraph" w:styleId="1">
    <w:name w:val="heading 1"/>
    <w:basedOn w:val="a"/>
    <w:link w:val="10"/>
    <w:uiPriority w:val="9"/>
    <w:qFormat/>
    <w:rsid w:val="009914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C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4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066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75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Добровольская Ангелина</cp:lastModifiedBy>
  <cp:revision>2</cp:revision>
  <dcterms:created xsi:type="dcterms:W3CDTF">2021-07-22T13:08:00Z</dcterms:created>
  <dcterms:modified xsi:type="dcterms:W3CDTF">2021-09-13T20:24:00Z</dcterms:modified>
</cp:coreProperties>
</file>